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1EA" w:rsidRDefault="007F01EA" w:rsidP="00FD1D41">
      <w:pPr>
        <w:pStyle w:val="Heading1"/>
        <w:spacing w:line="276" w:lineRule="auto"/>
        <w:ind w:left="342" w:hanging="342"/>
        <w:rPr>
          <w:rFonts w:ascii="Times New Roman" w:hAnsi="Times New Roman"/>
          <w:sz w:val="40"/>
          <w:szCs w:val="40"/>
        </w:rPr>
      </w:pPr>
    </w:p>
    <w:p w:rsidR="007F01EA" w:rsidRDefault="007F01EA" w:rsidP="00FD1D41">
      <w:pPr>
        <w:pStyle w:val="Heading1"/>
        <w:spacing w:line="276" w:lineRule="auto"/>
        <w:ind w:left="342" w:hanging="342"/>
        <w:rPr>
          <w:rFonts w:ascii="Times New Roman" w:hAnsi="Times New Roman"/>
          <w:sz w:val="40"/>
          <w:szCs w:val="40"/>
        </w:rPr>
      </w:pPr>
    </w:p>
    <w:p w:rsidR="007F01EA" w:rsidRDefault="007F01EA" w:rsidP="00FD1D41">
      <w:pPr>
        <w:pStyle w:val="Heading1"/>
        <w:spacing w:line="276" w:lineRule="auto"/>
        <w:ind w:left="342" w:hanging="342"/>
        <w:rPr>
          <w:rFonts w:ascii="Times New Roman" w:hAnsi="Times New Roman"/>
          <w:sz w:val="40"/>
          <w:szCs w:val="40"/>
        </w:rPr>
      </w:pPr>
    </w:p>
    <w:p w:rsidR="007F01EA" w:rsidRDefault="007F01EA" w:rsidP="00FD1D41">
      <w:pPr>
        <w:pStyle w:val="Heading1"/>
        <w:spacing w:line="276" w:lineRule="auto"/>
        <w:ind w:left="342" w:hanging="342"/>
        <w:rPr>
          <w:rFonts w:ascii="Times New Roman" w:hAnsi="Times New Roman"/>
          <w:sz w:val="40"/>
          <w:szCs w:val="40"/>
        </w:rPr>
      </w:pPr>
    </w:p>
    <w:p w:rsidR="00FD1D41" w:rsidRPr="0032486C" w:rsidRDefault="00FD1D41" w:rsidP="00FD1D41">
      <w:pPr>
        <w:pStyle w:val="Heading1"/>
        <w:spacing w:line="276" w:lineRule="auto"/>
        <w:ind w:left="342" w:hanging="342"/>
        <w:rPr>
          <w:rFonts w:ascii="Times New Roman" w:hAnsi="Times New Roman"/>
          <w:sz w:val="40"/>
          <w:szCs w:val="40"/>
          <w:lang w:val="bg-BG"/>
        </w:rPr>
      </w:pPr>
      <w:r w:rsidRPr="0032486C">
        <w:rPr>
          <w:rFonts w:ascii="Times New Roman" w:hAnsi="Times New Roman"/>
          <w:sz w:val="40"/>
          <w:szCs w:val="40"/>
          <w:lang w:val="bg-BG"/>
        </w:rPr>
        <w:t>ГОДИШЕН</w:t>
      </w:r>
    </w:p>
    <w:p w:rsidR="00FD1D41" w:rsidRPr="0032486C" w:rsidRDefault="00FD1D41" w:rsidP="00FD1D41">
      <w:pPr>
        <w:pStyle w:val="Heading1"/>
        <w:spacing w:line="276" w:lineRule="auto"/>
        <w:ind w:left="342" w:hanging="342"/>
        <w:rPr>
          <w:rFonts w:ascii="Times New Roman" w:hAnsi="Times New Roman"/>
          <w:sz w:val="40"/>
          <w:szCs w:val="40"/>
          <w:lang w:val="bg-BG"/>
        </w:rPr>
      </w:pPr>
      <w:r w:rsidRPr="0032486C">
        <w:rPr>
          <w:rFonts w:ascii="Times New Roman" w:hAnsi="Times New Roman"/>
          <w:sz w:val="40"/>
          <w:szCs w:val="40"/>
          <w:lang w:val="bg-BG"/>
        </w:rPr>
        <w:t>ДОКЛАД И ОТЧЕТ</w:t>
      </w:r>
    </w:p>
    <w:p w:rsidR="00FD1D41" w:rsidRPr="0032486C" w:rsidRDefault="00FD1D41" w:rsidP="00FD1D41">
      <w:pPr>
        <w:spacing w:line="276" w:lineRule="auto"/>
        <w:ind w:left="342" w:hanging="342"/>
        <w:jc w:val="center"/>
        <w:rPr>
          <w:rFonts w:ascii="Times New Roman" w:hAnsi="Times New Roman"/>
          <w:lang w:val="bg-BG"/>
        </w:rPr>
      </w:pPr>
    </w:p>
    <w:p w:rsidR="00FD1D41" w:rsidRPr="0032486C" w:rsidRDefault="00FD1D41" w:rsidP="00FD1D41">
      <w:pPr>
        <w:spacing w:line="276" w:lineRule="auto"/>
        <w:ind w:left="342" w:hanging="342"/>
        <w:jc w:val="center"/>
        <w:rPr>
          <w:rFonts w:ascii="Times New Roman" w:hAnsi="Times New Roman"/>
          <w:lang w:val="bg-BG"/>
        </w:rPr>
      </w:pPr>
    </w:p>
    <w:p w:rsidR="00FD1D41" w:rsidRPr="0032486C" w:rsidRDefault="00FD1D41" w:rsidP="00FD1D41">
      <w:pPr>
        <w:spacing w:line="276" w:lineRule="auto"/>
        <w:ind w:left="342" w:hanging="342"/>
        <w:jc w:val="center"/>
        <w:rPr>
          <w:rFonts w:ascii="Times New Roman" w:hAnsi="Times New Roman"/>
          <w:b/>
          <w:sz w:val="36"/>
          <w:szCs w:val="36"/>
          <w:lang w:val="bg-BG"/>
        </w:rPr>
      </w:pPr>
      <w:r w:rsidRPr="0032486C">
        <w:rPr>
          <w:rFonts w:ascii="Times New Roman" w:hAnsi="Times New Roman"/>
          <w:b/>
          <w:sz w:val="36"/>
          <w:szCs w:val="36"/>
          <w:lang w:val="bg-BG"/>
        </w:rPr>
        <w:t>ЗА ДЕЙНОСТТА НА</w:t>
      </w:r>
    </w:p>
    <w:p w:rsidR="00FD1D41" w:rsidRPr="0032486C" w:rsidRDefault="00FD1D41" w:rsidP="00FD1D41">
      <w:pPr>
        <w:spacing w:line="276" w:lineRule="auto"/>
        <w:ind w:left="342" w:hanging="342"/>
        <w:jc w:val="center"/>
        <w:rPr>
          <w:rFonts w:ascii="Times New Roman" w:hAnsi="Times New Roman"/>
          <w:b/>
          <w:sz w:val="36"/>
          <w:szCs w:val="36"/>
          <w:lang w:val="bg-BG"/>
        </w:rPr>
      </w:pPr>
      <w:r w:rsidRPr="0032486C">
        <w:rPr>
          <w:rFonts w:ascii="Times New Roman" w:hAnsi="Times New Roman"/>
          <w:b/>
          <w:sz w:val="36"/>
          <w:szCs w:val="36"/>
          <w:lang w:val="bg-BG"/>
        </w:rPr>
        <w:t>ДЪРЖАВНИЯ ФОНД</w:t>
      </w:r>
    </w:p>
    <w:p w:rsidR="00FD1D41" w:rsidRPr="0032486C" w:rsidRDefault="00FD1D41" w:rsidP="00FD1D41">
      <w:pPr>
        <w:spacing w:line="276" w:lineRule="auto"/>
        <w:ind w:left="342" w:hanging="342"/>
        <w:jc w:val="center"/>
        <w:rPr>
          <w:rFonts w:ascii="Times New Roman" w:hAnsi="Times New Roman"/>
          <w:b/>
          <w:sz w:val="36"/>
          <w:szCs w:val="36"/>
          <w:lang w:val="bg-BG"/>
        </w:rPr>
      </w:pPr>
      <w:r w:rsidRPr="0032486C">
        <w:rPr>
          <w:rFonts w:ascii="Times New Roman" w:hAnsi="Times New Roman"/>
          <w:b/>
          <w:sz w:val="36"/>
          <w:szCs w:val="36"/>
          <w:lang w:val="bg-BG"/>
        </w:rPr>
        <w:t>ЗА ГАРАНТИРАНЕ УСТОЙЧИВОСТ НА ДЪРЖАВНАТА ПЕНСИОННА СИСТЕМА</w:t>
      </w:r>
    </w:p>
    <w:p w:rsidR="001631E4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  <w:r w:rsidRPr="00505072">
        <w:rPr>
          <w:rFonts w:ascii="Times New Roman" w:hAnsi="Times New Roman"/>
          <w:b/>
          <w:color w:val="000000"/>
          <w:sz w:val="36"/>
          <w:szCs w:val="36"/>
          <w:lang w:val="bg-BG"/>
        </w:rPr>
        <w:t>ЗА 201</w:t>
      </w:r>
      <w:r>
        <w:rPr>
          <w:rFonts w:ascii="Times New Roman" w:hAnsi="Times New Roman"/>
          <w:b/>
          <w:color w:val="000000"/>
          <w:sz w:val="36"/>
          <w:szCs w:val="36"/>
          <w:lang w:val="en-US"/>
        </w:rPr>
        <w:t>5</w:t>
      </w:r>
      <w:r w:rsidRPr="00505072">
        <w:rPr>
          <w:rFonts w:ascii="Times New Roman" w:hAnsi="Times New Roman"/>
          <w:b/>
          <w:color w:val="000000"/>
          <w:sz w:val="36"/>
          <w:szCs w:val="36"/>
          <w:lang w:val="bg-BG"/>
        </w:rPr>
        <w:t xml:space="preserve"> г.</w:t>
      </w:r>
    </w:p>
    <w:p w:rsidR="00FD1D41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</w:p>
    <w:p w:rsidR="00FD1D41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</w:p>
    <w:p w:rsidR="00FD1D41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</w:p>
    <w:p w:rsidR="00FD1D41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</w:p>
    <w:p w:rsidR="00FD1D41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</w:p>
    <w:p w:rsidR="00FD1D41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</w:p>
    <w:p w:rsidR="00FD1D41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</w:p>
    <w:p w:rsidR="00FD1D41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</w:p>
    <w:p w:rsidR="00FD1D41" w:rsidRDefault="00FD1D41" w:rsidP="00FD1D41">
      <w:pPr>
        <w:jc w:val="center"/>
        <w:rPr>
          <w:rFonts w:ascii="Times New Roman" w:hAnsi="Times New Roman"/>
          <w:b/>
          <w:color w:val="000000"/>
          <w:sz w:val="36"/>
          <w:szCs w:val="36"/>
          <w:lang w:val="en-US"/>
        </w:rPr>
      </w:pPr>
    </w:p>
    <w:p w:rsidR="007F01EA" w:rsidRDefault="007F01EA" w:rsidP="00FD1D41">
      <w:pPr>
        <w:tabs>
          <w:tab w:val="left" w:pos="342"/>
          <w:tab w:val="left" w:pos="2340"/>
        </w:tabs>
        <w:ind w:left="399" w:hanging="21"/>
        <w:jc w:val="center"/>
        <w:rPr>
          <w:rFonts w:ascii="Times New Roman" w:hAnsi="Times New Roman"/>
          <w:b/>
          <w:smallCaps/>
          <w:szCs w:val="24"/>
          <w:lang w:val="en-US"/>
        </w:rPr>
      </w:pPr>
    </w:p>
    <w:p w:rsidR="00FD1D41" w:rsidRPr="0032486C" w:rsidRDefault="00FD1D41" w:rsidP="00FD1D41">
      <w:pPr>
        <w:tabs>
          <w:tab w:val="left" w:pos="342"/>
          <w:tab w:val="left" w:pos="2340"/>
        </w:tabs>
        <w:ind w:left="399" w:hanging="21"/>
        <w:jc w:val="center"/>
        <w:rPr>
          <w:rFonts w:ascii="Times New Roman" w:hAnsi="Times New Roman"/>
          <w:b/>
          <w:smallCaps/>
          <w:szCs w:val="24"/>
          <w:lang w:val="bg-BG"/>
        </w:rPr>
      </w:pPr>
      <w:r w:rsidRPr="0032486C">
        <w:rPr>
          <w:rFonts w:ascii="Times New Roman" w:hAnsi="Times New Roman"/>
          <w:b/>
          <w:smallCaps/>
          <w:szCs w:val="24"/>
          <w:lang w:val="bg-BG"/>
        </w:rPr>
        <w:lastRenderedPageBreak/>
        <w:t>СЪДЪРЖАНИЕ</w:t>
      </w:r>
    </w:p>
    <w:p w:rsidR="007F01EA" w:rsidRDefault="007F01EA" w:rsidP="00FD1D41">
      <w:pPr>
        <w:tabs>
          <w:tab w:val="left" w:pos="342"/>
          <w:tab w:val="left" w:pos="399"/>
        </w:tabs>
        <w:ind w:left="399" w:hanging="21"/>
        <w:rPr>
          <w:rFonts w:ascii="Times New Roman" w:hAnsi="Times New Roman"/>
          <w:i/>
          <w:smallCaps/>
          <w:szCs w:val="24"/>
          <w:lang w:val="en-US"/>
        </w:rPr>
      </w:pPr>
    </w:p>
    <w:p w:rsidR="00FD1D41" w:rsidRPr="0032486C" w:rsidRDefault="00FD1D41" w:rsidP="00FD1D41">
      <w:pPr>
        <w:tabs>
          <w:tab w:val="left" w:pos="342"/>
          <w:tab w:val="left" w:pos="399"/>
        </w:tabs>
        <w:ind w:left="399" w:hanging="21"/>
        <w:rPr>
          <w:rFonts w:ascii="Times New Roman" w:hAnsi="Times New Roman"/>
          <w:i/>
          <w:smallCaps/>
          <w:szCs w:val="24"/>
          <w:lang w:val="bg-BG"/>
        </w:rPr>
      </w:pPr>
      <w:r w:rsidRPr="0032486C">
        <w:rPr>
          <w:rFonts w:ascii="Times New Roman" w:hAnsi="Times New Roman"/>
          <w:i/>
          <w:smallCaps/>
          <w:szCs w:val="24"/>
          <w:lang w:val="bg-BG"/>
        </w:rPr>
        <w:tab/>
        <w:t>Част първа</w:t>
      </w:r>
    </w:p>
    <w:p w:rsidR="00FD1D41" w:rsidRPr="0032486C" w:rsidRDefault="00FD1D41" w:rsidP="00FD1D41">
      <w:pPr>
        <w:tabs>
          <w:tab w:val="left" w:pos="342"/>
          <w:tab w:val="left" w:pos="399"/>
        </w:tabs>
        <w:spacing w:after="0" w:line="240" w:lineRule="auto"/>
        <w:ind w:left="399" w:hanging="21"/>
        <w:rPr>
          <w:rFonts w:ascii="Times New Roman" w:hAnsi="Times New Roman"/>
          <w:b/>
          <w:caps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mallCaps/>
          <w:sz w:val="22"/>
          <w:szCs w:val="22"/>
          <w:lang w:val="bg-BG"/>
        </w:rPr>
        <w:t>ДЕЙНОСТ НА УПРАВИТЕЛНИЯ СЪВЕТ НА</w:t>
      </w:r>
      <w:r w:rsidRPr="0032486C">
        <w:rPr>
          <w:rFonts w:ascii="Times New Roman" w:hAnsi="Times New Roman"/>
          <w:i/>
          <w:smallCaps/>
          <w:sz w:val="22"/>
          <w:szCs w:val="22"/>
          <w:lang w:val="bg-BG"/>
        </w:rPr>
        <w:t xml:space="preserve"> </w:t>
      </w:r>
      <w:r w:rsidRPr="0032486C">
        <w:rPr>
          <w:rFonts w:ascii="Times New Roman" w:hAnsi="Times New Roman"/>
          <w:b/>
          <w:smallCaps/>
          <w:sz w:val="22"/>
          <w:szCs w:val="22"/>
          <w:lang w:val="bg-BG"/>
        </w:rPr>
        <w:t>ДЪРЖАВНИЯ ФОНД ЗА ГАРАНТИРАНЕ УСТОЙЧИВОСТ НА ДЪРЖАВНАТА ПЕНСИОННА СИСТЕМА</w:t>
      </w:r>
    </w:p>
    <w:p w:rsidR="00FD1D41" w:rsidRPr="0032486C" w:rsidRDefault="00FD1D41" w:rsidP="00FD1D41">
      <w:pPr>
        <w:tabs>
          <w:tab w:val="left" w:pos="342"/>
          <w:tab w:val="left" w:pos="1311"/>
          <w:tab w:val="left" w:pos="1368"/>
          <w:tab w:val="left" w:pos="2052"/>
        </w:tabs>
        <w:ind w:left="399" w:hanging="21"/>
        <w:rPr>
          <w:rFonts w:ascii="Times New Roman" w:hAnsi="Times New Roman"/>
          <w:i/>
          <w:smallCaps/>
          <w:szCs w:val="24"/>
          <w:lang w:val="bg-BG"/>
        </w:rPr>
      </w:pPr>
    </w:p>
    <w:p w:rsidR="00FD1D41" w:rsidRPr="0032486C" w:rsidRDefault="00FD1D41" w:rsidP="00FD1D41">
      <w:pPr>
        <w:tabs>
          <w:tab w:val="left" w:pos="342"/>
          <w:tab w:val="left" w:pos="1311"/>
          <w:tab w:val="left" w:pos="1368"/>
          <w:tab w:val="left" w:pos="2052"/>
        </w:tabs>
        <w:ind w:left="399" w:hanging="21"/>
        <w:rPr>
          <w:rFonts w:ascii="Times New Roman" w:hAnsi="Times New Roman"/>
          <w:b/>
          <w:smallCaps/>
          <w:szCs w:val="24"/>
          <w:lang w:val="bg-BG"/>
        </w:rPr>
      </w:pPr>
      <w:r w:rsidRPr="0032486C">
        <w:rPr>
          <w:rFonts w:ascii="Times New Roman" w:hAnsi="Times New Roman"/>
          <w:i/>
          <w:smallCaps/>
          <w:szCs w:val="24"/>
          <w:lang w:val="bg-BG"/>
        </w:rPr>
        <w:t>Част втора</w:t>
      </w:r>
    </w:p>
    <w:p w:rsidR="00FD1D41" w:rsidRPr="0032486C" w:rsidRDefault="00FD1D41" w:rsidP="00FD1D41">
      <w:pPr>
        <w:tabs>
          <w:tab w:val="left" w:pos="342"/>
          <w:tab w:val="left" w:pos="1311"/>
          <w:tab w:val="left" w:pos="1368"/>
          <w:tab w:val="left" w:pos="2052"/>
        </w:tabs>
        <w:spacing w:after="0" w:line="240" w:lineRule="auto"/>
        <w:ind w:left="399" w:hanging="21"/>
        <w:rPr>
          <w:rFonts w:ascii="Times New Roman" w:hAnsi="Times New Roman"/>
          <w:b/>
          <w:caps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mallCaps/>
          <w:sz w:val="22"/>
          <w:szCs w:val="22"/>
          <w:lang w:val="bg-BG"/>
        </w:rPr>
        <w:t>ТЕКУЩО СЪСТОЯНИЕ НА ДЪРЖАВНИЯ ФОНД ЗА ГАРАНТИРАНЕ УСТОЙЧИВОСТ НА ДЪРЖАВНАТА ПЕНСИОННА СИСТЕМА</w:t>
      </w:r>
    </w:p>
    <w:p w:rsidR="00FD1D41" w:rsidRPr="0032486C" w:rsidRDefault="00FD1D41" w:rsidP="00FD1D41">
      <w:pPr>
        <w:tabs>
          <w:tab w:val="left" w:pos="342"/>
          <w:tab w:val="left" w:pos="2340"/>
        </w:tabs>
        <w:spacing w:after="0" w:line="240" w:lineRule="auto"/>
        <w:ind w:left="399" w:hanging="21"/>
        <w:rPr>
          <w:rFonts w:ascii="Times New Roman" w:hAnsi="Times New Roman"/>
          <w:b/>
          <w:smallCaps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z w:val="22"/>
          <w:szCs w:val="22"/>
          <w:lang w:val="bg-BG"/>
        </w:rPr>
        <w:t xml:space="preserve">І. </w:t>
      </w:r>
      <w:r w:rsidRPr="0032486C">
        <w:rPr>
          <w:rFonts w:ascii="Times New Roman" w:hAnsi="Times New Roman"/>
          <w:b/>
          <w:smallCaps/>
          <w:sz w:val="22"/>
          <w:szCs w:val="22"/>
          <w:lang w:val="bg-BG"/>
        </w:rPr>
        <w:t>ПРИХОДОИЗТОЧНИЦИ</w:t>
      </w:r>
    </w:p>
    <w:p w:rsidR="00FD1D41" w:rsidRPr="0032486C" w:rsidRDefault="00FD1D41" w:rsidP="00FD1D41">
      <w:pPr>
        <w:tabs>
          <w:tab w:val="left" w:pos="342"/>
          <w:tab w:val="left" w:pos="2340"/>
        </w:tabs>
        <w:spacing w:after="0" w:line="240" w:lineRule="auto"/>
        <w:ind w:left="399" w:hanging="21"/>
        <w:rPr>
          <w:rFonts w:ascii="Times New Roman" w:hAnsi="Times New Roman"/>
          <w:b/>
          <w:caps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mallCaps/>
          <w:sz w:val="22"/>
          <w:szCs w:val="22"/>
          <w:lang w:val="bg-BG"/>
        </w:rPr>
        <w:t>ІІ. УПРАВЛЕНИЕ НА СРЕДСТВАТА</w:t>
      </w:r>
    </w:p>
    <w:p w:rsidR="00FD1D41" w:rsidRPr="0032486C" w:rsidRDefault="00FD1D41" w:rsidP="00FD1D41">
      <w:pPr>
        <w:tabs>
          <w:tab w:val="left" w:pos="342"/>
        </w:tabs>
        <w:spacing w:after="0" w:line="240" w:lineRule="auto"/>
        <w:ind w:left="399" w:hanging="21"/>
        <w:rPr>
          <w:rFonts w:ascii="Times New Roman" w:hAnsi="Times New Roman"/>
          <w:b/>
          <w:smallCaps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z w:val="22"/>
          <w:szCs w:val="22"/>
          <w:lang w:val="bg-BG"/>
        </w:rPr>
        <w:t xml:space="preserve">ІІІ. </w:t>
      </w:r>
      <w:r w:rsidRPr="0032486C">
        <w:rPr>
          <w:rFonts w:ascii="Times New Roman" w:hAnsi="Times New Roman"/>
          <w:b/>
          <w:smallCaps/>
          <w:sz w:val="22"/>
          <w:szCs w:val="22"/>
          <w:lang w:val="bg-BG"/>
        </w:rPr>
        <w:t>ОТЧЕТНОСТ</w:t>
      </w:r>
    </w:p>
    <w:p w:rsidR="00FD1D41" w:rsidRPr="0032486C" w:rsidRDefault="00FD1D41" w:rsidP="00FD1D41">
      <w:pPr>
        <w:tabs>
          <w:tab w:val="left" w:pos="342"/>
        </w:tabs>
        <w:spacing w:after="0" w:line="240" w:lineRule="auto"/>
        <w:ind w:left="399" w:hanging="21"/>
        <w:rPr>
          <w:rFonts w:ascii="Times New Roman" w:hAnsi="Times New Roman"/>
          <w:b/>
          <w:smallCaps/>
          <w:szCs w:val="24"/>
          <w:lang w:val="bg-BG"/>
        </w:rPr>
      </w:pPr>
    </w:p>
    <w:p w:rsidR="00FD1D41" w:rsidRPr="0032486C" w:rsidRDefault="00FD1D41" w:rsidP="00FD1D41">
      <w:pPr>
        <w:tabs>
          <w:tab w:val="left" w:pos="342"/>
        </w:tabs>
        <w:ind w:left="399" w:hanging="21"/>
        <w:rPr>
          <w:rFonts w:ascii="Times New Roman" w:hAnsi="Times New Roman"/>
          <w:i/>
          <w:smallCaps/>
          <w:szCs w:val="24"/>
          <w:lang w:val="bg-BG"/>
        </w:rPr>
      </w:pPr>
      <w:r w:rsidRPr="0032486C">
        <w:rPr>
          <w:rFonts w:ascii="Times New Roman" w:hAnsi="Times New Roman"/>
          <w:i/>
          <w:smallCaps/>
          <w:szCs w:val="24"/>
          <w:lang w:val="bg-BG"/>
        </w:rPr>
        <w:t>Част трета</w:t>
      </w:r>
    </w:p>
    <w:p w:rsidR="00FD1D41" w:rsidRPr="0032486C" w:rsidRDefault="00FD1D41" w:rsidP="00FD1D41">
      <w:pPr>
        <w:tabs>
          <w:tab w:val="left" w:pos="342"/>
        </w:tabs>
        <w:ind w:left="399" w:hanging="21"/>
        <w:rPr>
          <w:rFonts w:ascii="Times New Roman" w:hAnsi="Times New Roman"/>
          <w:b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z w:val="22"/>
          <w:szCs w:val="22"/>
          <w:lang w:val="bg-BG"/>
        </w:rPr>
        <w:t>ПУБЛИЧНОСТ</w:t>
      </w:r>
    </w:p>
    <w:p w:rsidR="00FD1D41" w:rsidRPr="0032486C" w:rsidRDefault="00FD1D41" w:rsidP="00FD1D41">
      <w:pPr>
        <w:tabs>
          <w:tab w:val="left" w:pos="342"/>
        </w:tabs>
        <w:ind w:left="399" w:hanging="21"/>
        <w:rPr>
          <w:rFonts w:ascii="Times New Roman" w:hAnsi="Times New Roman"/>
          <w:i/>
          <w:smallCaps/>
          <w:szCs w:val="24"/>
          <w:lang w:val="bg-BG"/>
        </w:rPr>
      </w:pPr>
      <w:r w:rsidRPr="0032486C">
        <w:rPr>
          <w:rFonts w:ascii="Times New Roman" w:hAnsi="Times New Roman"/>
          <w:i/>
          <w:smallCaps/>
          <w:szCs w:val="24"/>
          <w:lang w:val="bg-BG"/>
        </w:rPr>
        <w:t>Част четвърт</w:t>
      </w:r>
    </w:p>
    <w:p w:rsidR="00FD1D41" w:rsidRPr="0032486C" w:rsidRDefault="00FD1D41" w:rsidP="00FD1D41">
      <w:pPr>
        <w:tabs>
          <w:tab w:val="left" w:pos="342"/>
        </w:tabs>
        <w:ind w:left="399" w:hanging="21"/>
        <w:rPr>
          <w:rFonts w:ascii="Times New Roman" w:hAnsi="Times New Roman"/>
          <w:b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z w:val="22"/>
          <w:szCs w:val="22"/>
          <w:lang w:val="bg-BG"/>
        </w:rPr>
        <w:t>ВЪНШЕН ОДИТ</w:t>
      </w:r>
    </w:p>
    <w:p w:rsidR="00FD1D41" w:rsidRPr="0032486C" w:rsidRDefault="00FD1D41" w:rsidP="00FD1D41">
      <w:pPr>
        <w:tabs>
          <w:tab w:val="left" w:pos="342"/>
        </w:tabs>
        <w:ind w:left="399" w:hanging="21"/>
        <w:rPr>
          <w:rFonts w:ascii="Times New Roman" w:hAnsi="Times New Roman"/>
          <w:b/>
          <w:bCs/>
          <w:caps/>
          <w:color w:val="000000"/>
          <w:szCs w:val="24"/>
          <w:lang w:val="bg-BG"/>
        </w:rPr>
      </w:pPr>
    </w:p>
    <w:p w:rsidR="00FD1D41" w:rsidRPr="0032486C" w:rsidRDefault="00FD1D41" w:rsidP="00FD1D41">
      <w:pPr>
        <w:tabs>
          <w:tab w:val="left" w:pos="342"/>
        </w:tabs>
        <w:ind w:left="399" w:hanging="21"/>
        <w:rPr>
          <w:rFonts w:ascii="Times New Roman" w:hAnsi="Times New Roman"/>
          <w:b/>
          <w:szCs w:val="24"/>
          <w:lang w:val="bg-BG"/>
        </w:rPr>
      </w:pPr>
    </w:p>
    <w:p w:rsidR="00FD1D41" w:rsidRPr="0032486C" w:rsidRDefault="00FD1D41" w:rsidP="00FD1D41">
      <w:pPr>
        <w:tabs>
          <w:tab w:val="left" w:pos="342"/>
        </w:tabs>
        <w:ind w:left="399" w:hanging="21"/>
        <w:jc w:val="center"/>
        <w:rPr>
          <w:rFonts w:ascii="Times New Roman" w:hAnsi="Times New Roman"/>
          <w:i/>
          <w:smallCaps/>
          <w:szCs w:val="24"/>
          <w:lang w:val="bg-BG"/>
        </w:rPr>
      </w:pPr>
    </w:p>
    <w:p w:rsidR="00FD1D41" w:rsidRPr="0032486C" w:rsidRDefault="00FD1D41" w:rsidP="00FD1D41">
      <w:pPr>
        <w:widowControl w:val="0"/>
        <w:tabs>
          <w:tab w:val="left" w:pos="342"/>
        </w:tabs>
        <w:autoSpaceDE w:val="0"/>
        <w:autoSpaceDN w:val="0"/>
        <w:adjustRightInd w:val="0"/>
        <w:ind w:left="399" w:hanging="21"/>
        <w:rPr>
          <w:rFonts w:ascii="Times New Roman" w:hAnsi="Times New Roman"/>
          <w:szCs w:val="24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ind w:firstLine="1080"/>
        <w:rPr>
          <w:rFonts w:ascii="Times New Roman" w:hAnsi="Times New Roman"/>
          <w:szCs w:val="24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ind w:firstLine="1080"/>
        <w:rPr>
          <w:rFonts w:ascii="Times New Roman" w:hAnsi="Times New Roman"/>
          <w:szCs w:val="24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ind w:firstLine="1080"/>
        <w:rPr>
          <w:rFonts w:ascii="Times New Roman" w:hAnsi="Times New Roman"/>
          <w:szCs w:val="24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ind w:firstLine="1080"/>
        <w:rPr>
          <w:rFonts w:ascii="Times New Roman" w:hAnsi="Times New Roman"/>
          <w:szCs w:val="24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ind w:firstLine="1080"/>
        <w:rPr>
          <w:rFonts w:ascii="Times New Roman" w:hAnsi="Times New Roman"/>
          <w:szCs w:val="24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ind w:firstLine="1080"/>
        <w:rPr>
          <w:rFonts w:ascii="Times New Roman" w:hAnsi="Times New Roman"/>
          <w:szCs w:val="24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ind w:firstLine="1080"/>
        <w:rPr>
          <w:rFonts w:ascii="Times New Roman" w:hAnsi="Times New Roman"/>
          <w:szCs w:val="24"/>
          <w:lang w:val="bg-BG"/>
        </w:rPr>
      </w:pPr>
    </w:p>
    <w:p w:rsidR="00FD1D41" w:rsidRPr="0032486C" w:rsidRDefault="00FD1D41" w:rsidP="00FD1D41">
      <w:pPr>
        <w:jc w:val="center"/>
        <w:rPr>
          <w:rFonts w:ascii="Times New Roman" w:hAnsi="Times New Roman"/>
          <w:i/>
          <w:smallCaps/>
          <w:sz w:val="28"/>
          <w:szCs w:val="28"/>
          <w:lang w:val="bg-BG"/>
        </w:rPr>
      </w:pPr>
    </w:p>
    <w:p w:rsidR="00FD1D41" w:rsidRDefault="00FD1D41" w:rsidP="00FD1D41">
      <w:pPr>
        <w:jc w:val="center"/>
        <w:rPr>
          <w:rFonts w:ascii="Times New Roman" w:hAnsi="Times New Roman"/>
          <w:i/>
          <w:smallCaps/>
          <w:sz w:val="28"/>
          <w:szCs w:val="28"/>
          <w:lang w:val="en-US"/>
        </w:rPr>
      </w:pPr>
    </w:p>
    <w:p w:rsidR="00FD1D41" w:rsidRPr="0032486C" w:rsidRDefault="00FD1D41" w:rsidP="00FD1D41">
      <w:pPr>
        <w:jc w:val="center"/>
        <w:rPr>
          <w:rFonts w:ascii="Times New Roman" w:hAnsi="Times New Roman"/>
          <w:i/>
          <w:smallCaps/>
          <w:sz w:val="28"/>
          <w:szCs w:val="28"/>
          <w:lang w:val="bg-BG"/>
        </w:rPr>
      </w:pPr>
      <w:r w:rsidRPr="0032486C">
        <w:rPr>
          <w:rFonts w:ascii="Times New Roman" w:hAnsi="Times New Roman"/>
          <w:i/>
          <w:smallCaps/>
          <w:sz w:val="28"/>
          <w:szCs w:val="28"/>
          <w:lang w:val="bg-BG"/>
        </w:rPr>
        <w:lastRenderedPageBreak/>
        <w:t>Част първа</w:t>
      </w:r>
    </w:p>
    <w:p w:rsidR="00FD1D41" w:rsidRPr="0032486C" w:rsidRDefault="00FD1D41" w:rsidP="00FD1D41">
      <w:pPr>
        <w:spacing w:after="0" w:line="240" w:lineRule="auto"/>
        <w:ind w:firstLine="0"/>
        <w:jc w:val="center"/>
        <w:rPr>
          <w:rFonts w:ascii="Times New Roman" w:hAnsi="Times New Roman"/>
          <w:b/>
          <w:color w:val="008000"/>
          <w:sz w:val="10"/>
          <w:szCs w:val="10"/>
          <w:lang w:val="bg-BG"/>
        </w:rPr>
      </w:pPr>
    </w:p>
    <w:p w:rsidR="00FD1D41" w:rsidRPr="0032486C" w:rsidRDefault="00FD1D41" w:rsidP="00FD1D41">
      <w:pPr>
        <w:spacing w:after="0" w:line="240" w:lineRule="auto"/>
        <w:ind w:firstLine="0"/>
        <w:jc w:val="center"/>
        <w:rPr>
          <w:rFonts w:ascii="Times New Roman" w:hAnsi="Times New Roman"/>
          <w:b/>
          <w:color w:val="008000"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color w:val="008000"/>
          <w:sz w:val="22"/>
          <w:szCs w:val="22"/>
          <w:lang w:val="bg-BG"/>
        </w:rPr>
        <w:t>ДЕЙНОСТ НА УПРАВИТЕЛНИЯ СЪВЕТ НА ДЪРЖАВНИЯ ФОНД ЗА ГАРАНТИРАНЕ УСТОЙЧИВОСТ НА ДЪРЖАВНАТА ПЕНСИОННА СИСТЕМА</w:t>
      </w:r>
    </w:p>
    <w:p w:rsidR="00FD1D41" w:rsidRPr="00AB5F69" w:rsidRDefault="00FD1D41" w:rsidP="00FD1D41">
      <w:pPr>
        <w:widowControl w:val="0"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10"/>
          <w:szCs w:val="10"/>
          <w:lang w:val="bg-BG" w:eastAsia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10"/>
          <w:szCs w:val="10"/>
          <w:lang w:val="bg-BG" w:eastAsia="bg-BG"/>
        </w:rPr>
      </w:pPr>
    </w:p>
    <w:p w:rsidR="00FD1D41" w:rsidRDefault="00FD1D41" w:rsidP="00FD1D41">
      <w:pPr>
        <w:spacing w:after="0" w:line="240" w:lineRule="auto"/>
        <w:ind w:right="50"/>
        <w:rPr>
          <w:rFonts w:ascii="Times New Roman" w:hAnsi="Times New Roman"/>
          <w:szCs w:val="24"/>
          <w:lang w:val="bg-BG"/>
        </w:rPr>
      </w:pPr>
      <w:r w:rsidRPr="00ED5F27">
        <w:rPr>
          <w:rFonts w:ascii="Times New Roman" w:hAnsi="Times New Roman"/>
          <w:szCs w:val="24"/>
          <w:lang w:val="bg-BG"/>
        </w:rPr>
        <w:t xml:space="preserve">От създаването на </w:t>
      </w:r>
      <w:r w:rsidRPr="00306F67">
        <w:rPr>
          <w:rFonts w:ascii="Times New Roman" w:hAnsi="Times New Roman"/>
          <w:szCs w:val="24"/>
          <w:lang w:val="bg-BG" w:eastAsia="bg-BG"/>
        </w:rPr>
        <w:t>Държавния фонд за гарантиране устойчивост на държавната пенсионна система („ДФГУДПС” или „фонда”)</w:t>
      </w:r>
      <w:r w:rsidRPr="00ED5F27">
        <w:rPr>
          <w:rFonts w:ascii="Times New Roman" w:hAnsi="Times New Roman"/>
          <w:szCs w:val="24"/>
          <w:lang w:val="bg-BG"/>
        </w:rPr>
        <w:t xml:space="preserve"> той е разглеждан като част от концепцията за развитие на пенсионната система. </w:t>
      </w:r>
      <w:r>
        <w:rPr>
          <w:rFonts w:ascii="Times New Roman" w:hAnsi="Times New Roman"/>
          <w:szCs w:val="24"/>
          <w:lang w:val="bg-BG" w:eastAsia="bg-BG"/>
        </w:rPr>
        <w:t xml:space="preserve">Съгласно Закона за ДФГУДПС </w:t>
      </w:r>
      <w:r w:rsidRPr="0069062B">
        <w:rPr>
          <w:rFonts w:ascii="Times New Roman" w:hAnsi="Times New Roman"/>
          <w:szCs w:val="24"/>
          <w:lang w:val="bg-BG" w:eastAsia="bg-BG"/>
        </w:rPr>
        <w:t>в</w:t>
      </w:r>
      <w:r w:rsidRPr="00D412DB">
        <w:rPr>
          <w:rFonts w:ascii="Times New Roman" w:hAnsi="Times New Roman"/>
          <w:szCs w:val="24"/>
          <w:lang w:val="bg-BG" w:eastAsia="bg-BG"/>
        </w:rPr>
        <w:t xml:space="preserve"> полза на фонда се отчисляват от централния бюджет средства от </w:t>
      </w:r>
      <w:r w:rsidRPr="00D412DB">
        <w:rPr>
          <w:rFonts w:ascii="Times New Roman" w:hAnsi="Times New Roman"/>
          <w:szCs w:val="24"/>
          <w:lang w:val="bg-BG"/>
        </w:rPr>
        <w:t xml:space="preserve">паричните постъпления от приватизация и приходите от концесии, отчетени по държавния бюджет, двадесет и пет на сто от отчетения за съответната бюджетна година излишък по държавния бюджет, както и приходи от други източници, определени със закон или с акт на Министерския съвет. В последните години отчисления за сметка на източника излишък по държавния </w:t>
      </w:r>
      <w:r w:rsidRPr="00D412DB">
        <w:rPr>
          <w:rFonts w:ascii="Times New Roman" w:hAnsi="Times New Roman"/>
          <w:szCs w:val="24"/>
          <w:lang w:val="en-US"/>
        </w:rPr>
        <w:t>(</w:t>
      </w:r>
      <w:r>
        <w:rPr>
          <w:rFonts w:ascii="Times New Roman" w:hAnsi="Times New Roman"/>
          <w:szCs w:val="24"/>
          <w:lang w:val="bg-BG"/>
        </w:rPr>
        <w:t>до 2013 г.</w:t>
      </w:r>
      <w:r w:rsidRPr="00D412DB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 xml:space="preserve">по </w:t>
      </w:r>
      <w:r w:rsidRPr="00D412DB">
        <w:rPr>
          <w:rFonts w:ascii="Times New Roman" w:hAnsi="Times New Roman"/>
          <w:szCs w:val="24"/>
          <w:lang w:val="bg-BG"/>
        </w:rPr>
        <w:t>републиканския</w:t>
      </w:r>
      <w:r w:rsidRPr="00D412DB">
        <w:rPr>
          <w:rFonts w:ascii="Times New Roman" w:hAnsi="Times New Roman"/>
          <w:szCs w:val="24"/>
          <w:lang w:val="en-US"/>
        </w:rPr>
        <w:t>)</w:t>
      </w:r>
      <w:r w:rsidRPr="00D412DB">
        <w:rPr>
          <w:rFonts w:ascii="Times New Roman" w:hAnsi="Times New Roman"/>
          <w:szCs w:val="24"/>
          <w:lang w:val="bg-BG"/>
        </w:rPr>
        <w:t xml:space="preserve"> бюджет няма, предвид на това, че бюджетното салдо е дефицит. Приходите от други източници, определени със закон или с акт на Министерския съвет са средства от глоби, имуществени санкции и неустойки, свързани с приватизационния процес по реда на чл. 8, ал. 8 (2) от Закона за приватизация и следприватизационен контрол.</w:t>
      </w:r>
      <w:r>
        <w:rPr>
          <w:rFonts w:ascii="Times New Roman" w:hAnsi="Times New Roman"/>
          <w:szCs w:val="24"/>
          <w:lang w:val="bg-BG"/>
        </w:rPr>
        <w:t xml:space="preserve"> Освен това, през 2015 г. по сметка на фонда са трансферирани и средства по реда на чл. 1, ал. 4 от ЗДФГУДПС във връзка с чл.</w:t>
      </w:r>
      <w:r>
        <w:rPr>
          <w:rFonts w:ascii="Times New Roman" w:hAnsi="Times New Roman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  <w:lang w:val="bg-BG"/>
        </w:rPr>
        <w:t>129, ал. 12 от Кодекса за социално осигуряване.</w:t>
      </w:r>
    </w:p>
    <w:p w:rsidR="00FD1D41" w:rsidRPr="006665E2" w:rsidRDefault="00FD1D41" w:rsidP="00FD1D41">
      <w:pPr>
        <w:spacing w:after="0" w:line="240" w:lineRule="auto"/>
        <w:ind w:firstLine="709"/>
        <w:rPr>
          <w:rFonts w:ascii="Times New Roman" w:eastAsia="Calibri" w:hAnsi="Times New Roman"/>
          <w:szCs w:val="24"/>
          <w:lang w:val="bg-BG"/>
        </w:rPr>
      </w:pPr>
      <w:r w:rsidRPr="0097107A">
        <w:rPr>
          <w:rFonts w:ascii="Times New Roman" w:eastAsia="Calibri" w:hAnsi="Times New Roman"/>
          <w:szCs w:val="24"/>
          <w:lang w:val="bg-BG"/>
        </w:rPr>
        <w:t xml:space="preserve">От създаването си до настоящия момент акумулираният ресурс на фонда се намира в отделна сметка в БНБ. По този начин, фондът представлява част от международните валутни резерви на страната и се управлява съгласно Закона за Българската народна банка, което гарантира, че принципите на </w:t>
      </w:r>
      <w:r w:rsidRPr="0097107A">
        <w:rPr>
          <w:rFonts w:ascii="Times New Roman" w:eastAsia="Calibri" w:hAnsi="Times New Roman"/>
          <w:i/>
          <w:szCs w:val="24"/>
          <w:lang w:val="bg-BG"/>
        </w:rPr>
        <w:t xml:space="preserve">надеждност, ликвидност и диверсификация </w:t>
      </w:r>
      <w:r w:rsidRPr="0097107A">
        <w:rPr>
          <w:rFonts w:ascii="Times New Roman" w:eastAsia="Calibri" w:hAnsi="Times New Roman"/>
          <w:szCs w:val="24"/>
          <w:lang w:val="bg-BG"/>
        </w:rPr>
        <w:t xml:space="preserve">са спазени по всяко време. По отношение на доходността </w:t>
      </w:r>
      <w:r>
        <w:rPr>
          <w:rFonts w:ascii="Times New Roman" w:eastAsia="Calibri" w:hAnsi="Times New Roman"/>
          <w:szCs w:val="24"/>
          <w:lang w:val="bg-BG"/>
        </w:rPr>
        <w:t>се прилагат</w:t>
      </w:r>
      <w:r w:rsidRPr="0097107A">
        <w:rPr>
          <w:rFonts w:ascii="Times New Roman" w:eastAsia="Calibri" w:hAnsi="Times New Roman"/>
          <w:szCs w:val="24"/>
          <w:lang w:val="bg-BG"/>
        </w:rPr>
        <w:t xml:space="preserve"> текущите пазарни условия Б</w:t>
      </w:r>
      <w:r>
        <w:rPr>
          <w:rFonts w:ascii="Times New Roman" w:eastAsia="Calibri" w:hAnsi="Times New Roman"/>
          <w:szCs w:val="24"/>
          <w:lang w:val="bg-BG"/>
        </w:rPr>
        <w:t>ългарска народна банка.</w:t>
      </w:r>
      <w:r w:rsidRPr="008F3865">
        <w:rPr>
          <w:rFonts w:ascii="Times New Roman" w:eastAsia="Calibri" w:hAnsi="Times New Roman"/>
          <w:szCs w:val="24"/>
          <w:lang w:val="bg-BG"/>
        </w:rPr>
        <w:t xml:space="preserve"> Следваната до момента консервативна стратегия при</w:t>
      </w:r>
      <w:r>
        <w:rPr>
          <w:rFonts w:ascii="Times New Roman" w:eastAsia="Calibri" w:hAnsi="Times New Roman"/>
          <w:szCs w:val="24"/>
          <w:lang w:val="bg-BG"/>
        </w:rPr>
        <w:t xml:space="preserve"> инвестирането на средствата на ДФГУДПС в срочни депозитни сметки в БНБ гарантира пълна защита от реализиране </w:t>
      </w:r>
      <w:r w:rsidRPr="00B228BA">
        <w:rPr>
          <w:rFonts w:ascii="Times New Roman" w:eastAsia="Calibri" w:hAnsi="Times New Roman"/>
          <w:szCs w:val="24"/>
          <w:lang w:val="bg-BG"/>
        </w:rPr>
        <w:t>на отрицателна доходност</w:t>
      </w:r>
      <w:r>
        <w:rPr>
          <w:rFonts w:ascii="Times New Roman" w:eastAsia="Calibri" w:hAnsi="Times New Roman"/>
          <w:szCs w:val="24"/>
          <w:lang w:val="bg-BG"/>
        </w:rPr>
        <w:t xml:space="preserve"> при неблагоприятни условия на международните финансови и капиталови пазари. </w:t>
      </w:r>
      <w:r w:rsidRPr="0097107A">
        <w:rPr>
          <w:rFonts w:ascii="Times New Roman" w:eastAsia="Calibri" w:hAnsi="Times New Roman"/>
          <w:szCs w:val="24"/>
          <w:lang w:val="bg-BG"/>
        </w:rPr>
        <w:t>Следва да се отбележи</w:t>
      </w:r>
      <w:r w:rsidRPr="006665E2">
        <w:rPr>
          <w:rFonts w:ascii="Times New Roman" w:eastAsia="Calibri" w:hAnsi="Times New Roman"/>
          <w:szCs w:val="24"/>
          <w:lang w:val="bg-BG"/>
        </w:rPr>
        <w:t>, че БНБ оперира при минималн</w:t>
      </w:r>
      <w:r>
        <w:rPr>
          <w:rFonts w:ascii="Times New Roman" w:eastAsia="Calibri" w:hAnsi="Times New Roman"/>
          <w:szCs w:val="24"/>
          <w:lang w:val="bg-BG"/>
        </w:rPr>
        <w:t>о</w:t>
      </w:r>
      <w:r w:rsidRPr="006665E2">
        <w:rPr>
          <w:rFonts w:ascii="Times New Roman" w:eastAsia="Calibri" w:hAnsi="Times New Roman"/>
          <w:szCs w:val="24"/>
          <w:lang w:val="bg-BG"/>
        </w:rPr>
        <w:t xml:space="preserve"> възможен инвестиционен риск, което при равни други условия съответства </w:t>
      </w:r>
      <w:r w:rsidRPr="0097107A">
        <w:rPr>
          <w:rFonts w:ascii="Times New Roman" w:eastAsia="Calibri" w:hAnsi="Times New Roman"/>
          <w:szCs w:val="24"/>
          <w:lang w:val="bg-BG"/>
        </w:rPr>
        <w:t>на относително по-ниско ниво на доходност в сравнение</w:t>
      </w:r>
      <w:r w:rsidRPr="006665E2">
        <w:rPr>
          <w:rFonts w:ascii="Times New Roman" w:eastAsia="Calibri" w:hAnsi="Times New Roman"/>
          <w:szCs w:val="24"/>
          <w:lang w:val="bg-BG"/>
        </w:rPr>
        <w:t xml:space="preserve"> с частните институционални инвеститори. </w:t>
      </w:r>
      <w:r>
        <w:rPr>
          <w:rFonts w:ascii="Times New Roman" w:eastAsia="Calibri" w:hAnsi="Times New Roman"/>
          <w:szCs w:val="24"/>
          <w:lang w:val="bg-BG"/>
        </w:rPr>
        <w:t xml:space="preserve">След влошаването на инвестиционната среда вследствие на глобалната икономическа и финансова криза понижената реална доходност от управлението на международните валутни резерви и текущите пазарни условия обусловиха БНБ да определи нулева доходност по срочните депозитни сметки в БНБ. Въпреки това при условията на отрицателна инфлация от последните години и липса на риск от реализиране на отрицателна доходност инвестирането на ресурса на ДФГУДПС в БНБ в най-голяма степен следва принципите за инвестиране на средствата на Фонда </w:t>
      </w:r>
      <w:r w:rsidRPr="0097107A">
        <w:rPr>
          <w:rFonts w:ascii="Times New Roman" w:eastAsia="Calibri" w:hAnsi="Times New Roman"/>
          <w:szCs w:val="24"/>
          <w:lang w:val="bg-BG"/>
        </w:rPr>
        <w:t>съгласно ЗДФГУДПС</w:t>
      </w:r>
      <w:r>
        <w:rPr>
          <w:rFonts w:ascii="Times New Roman" w:eastAsia="Calibri" w:hAnsi="Times New Roman"/>
          <w:szCs w:val="24"/>
          <w:lang w:val="bg-BG"/>
        </w:rPr>
        <w:t xml:space="preserve">. </w:t>
      </w:r>
    </w:p>
    <w:p w:rsidR="00FD1D41" w:rsidRPr="008D08D2" w:rsidRDefault="00FD1D41" w:rsidP="00FD1D41">
      <w:pPr>
        <w:spacing w:after="0" w:line="240" w:lineRule="auto"/>
        <w:ind w:firstLine="709"/>
        <w:rPr>
          <w:rFonts w:ascii="Times New Roman" w:eastAsia="Calibri" w:hAnsi="Times New Roman"/>
          <w:szCs w:val="24"/>
          <w:lang w:val="bg-BG"/>
        </w:rPr>
      </w:pPr>
      <w:r>
        <w:rPr>
          <w:rFonts w:ascii="Times New Roman" w:eastAsia="Calibri" w:hAnsi="Times New Roman"/>
          <w:szCs w:val="24"/>
          <w:lang w:val="bg-BG"/>
        </w:rPr>
        <w:t>Независимо от текущата нулева доходност тази консервативна инвестиционна политика осигурява постигането</w:t>
      </w:r>
      <w:r w:rsidRPr="008D08D2">
        <w:rPr>
          <w:rFonts w:ascii="Times New Roman" w:eastAsia="Calibri" w:hAnsi="Times New Roman"/>
          <w:szCs w:val="24"/>
          <w:lang w:val="bg-BG"/>
        </w:rPr>
        <w:t xml:space="preserve"> на положителна реална доходност, т.е. на доходност, надхвърляща темпа на инфлация за определен период. От август 2013 г. </w:t>
      </w:r>
      <w:r>
        <w:rPr>
          <w:rFonts w:ascii="Times New Roman" w:eastAsia="Calibri" w:hAnsi="Times New Roman"/>
          <w:szCs w:val="24"/>
          <w:lang w:val="bg-BG"/>
        </w:rPr>
        <w:t xml:space="preserve">до юни 2015 г. включително </w:t>
      </w:r>
      <w:r w:rsidRPr="008D08D2">
        <w:rPr>
          <w:rFonts w:ascii="Times New Roman" w:eastAsia="Calibri" w:hAnsi="Times New Roman"/>
          <w:szCs w:val="24"/>
          <w:lang w:val="bg-BG"/>
        </w:rPr>
        <w:t xml:space="preserve">в българската икономика се отчита дефлация на годишна база. По този начин, при </w:t>
      </w:r>
      <w:r>
        <w:rPr>
          <w:rFonts w:ascii="Times New Roman" w:eastAsia="Calibri" w:hAnsi="Times New Roman"/>
          <w:szCs w:val="24"/>
          <w:lang w:val="bg-BG"/>
        </w:rPr>
        <w:t>текуща</w:t>
      </w:r>
      <w:r w:rsidRPr="008D08D2">
        <w:rPr>
          <w:rFonts w:ascii="Times New Roman" w:eastAsia="Calibri" w:hAnsi="Times New Roman"/>
          <w:szCs w:val="24"/>
          <w:lang w:val="bg-BG"/>
        </w:rPr>
        <w:t xml:space="preserve"> нулева доходност от страна на БНБ</w:t>
      </w:r>
      <w:r>
        <w:rPr>
          <w:rFonts w:ascii="Times New Roman" w:eastAsia="Calibri" w:hAnsi="Times New Roman"/>
          <w:szCs w:val="24"/>
          <w:lang w:val="bg-BG"/>
        </w:rPr>
        <w:t xml:space="preserve"> и елиминиране на инвестиционния риск от загуба на активи на фонда</w:t>
      </w:r>
      <w:r w:rsidRPr="008D08D2">
        <w:rPr>
          <w:rFonts w:ascii="Times New Roman" w:eastAsia="Calibri" w:hAnsi="Times New Roman"/>
          <w:szCs w:val="24"/>
          <w:lang w:val="bg-BG"/>
        </w:rPr>
        <w:t xml:space="preserve">, реалната доходност на средствата на </w:t>
      </w:r>
      <w:r>
        <w:rPr>
          <w:rFonts w:ascii="Times New Roman" w:eastAsia="Calibri" w:hAnsi="Times New Roman"/>
          <w:szCs w:val="24"/>
          <w:lang w:val="bg-BG"/>
        </w:rPr>
        <w:t>фонда</w:t>
      </w:r>
      <w:r w:rsidRPr="008D08D2">
        <w:rPr>
          <w:rFonts w:ascii="Times New Roman" w:eastAsia="Calibri" w:hAnsi="Times New Roman"/>
          <w:szCs w:val="24"/>
          <w:lang w:val="bg-BG"/>
        </w:rPr>
        <w:t xml:space="preserve"> е положителна. </w:t>
      </w:r>
    </w:p>
    <w:p w:rsidR="00FD1D41" w:rsidRDefault="00FD1D41" w:rsidP="00FD1D41">
      <w:pPr>
        <w:spacing w:after="0" w:line="240" w:lineRule="auto"/>
        <w:rPr>
          <w:rFonts w:ascii="Times New Roman" w:hAnsi="Times New Roman"/>
          <w:szCs w:val="24"/>
          <w:lang w:val="bg-BG" w:eastAsia="bg-BG"/>
        </w:rPr>
      </w:pPr>
      <w:r>
        <w:rPr>
          <w:rFonts w:ascii="Times New Roman" w:hAnsi="Times New Roman"/>
          <w:szCs w:val="24"/>
          <w:lang w:val="bg-BG" w:eastAsia="bg-BG"/>
        </w:rPr>
        <w:t xml:space="preserve">С Решение № 737 на Министерския съвет от 18 септември 2015 г. </w:t>
      </w:r>
      <w:r w:rsidRPr="0097107A">
        <w:rPr>
          <w:rFonts w:ascii="Times New Roman" w:hAnsi="Times New Roman"/>
          <w:szCs w:val="24"/>
          <w:lang w:val="bg-BG" w:eastAsia="bg-BG"/>
        </w:rPr>
        <w:t>с</w:t>
      </w:r>
      <w:r>
        <w:rPr>
          <w:rFonts w:ascii="Times New Roman" w:hAnsi="Times New Roman"/>
          <w:szCs w:val="24"/>
          <w:lang w:val="bg-BG" w:eastAsia="bg-BG"/>
        </w:rPr>
        <w:t>е</w:t>
      </w:r>
      <w:r w:rsidRPr="0097107A">
        <w:rPr>
          <w:rFonts w:ascii="Times New Roman" w:hAnsi="Times New Roman"/>
          <w:szCs w:val="24"/>
          <w:lang w:val="bg-BG" w:eastAsia="bg-BG"/>
        </w:rPr>
        <w:t xml:space="preserve"> прие</w:t>
      </w:r>
      <w:r>
        <w:rPr>
          <w:rFonts w:ascii="Times New Roman" w:hAnsi="Times New Roman"/>
          <w:szCs w:val="24"/>
          <w:lang w:val="bg-BG" w:eastAsia="bg-BG"/>
        </w:rPr>
        <w:t xml:space="preserve">ха </w:t>
      </w:r>
      <w:r w:rsidRPr="007373AC">
        <w:rPr>
          <w:rFonts w:ascii="Times New Roman" w:hAnsi="Times New Roman"/>
          <w:szCs w:val="24"/>
          <w:lang w:val="bg-BG" w:eastAsia="bg-BG"/>
        </w:rPr>
        <w:t xml:space="preserve">дългосрочна инвестиционна политика </w:t>
      </w:r>
      <w:r>
        <w:rPr>
          <w:rFonts w:ascii="Times New Roman" w:hAnsi="Times New Roman"/>
          <w:szCs w:val="24"/>
          <w:lang w:val="bg-BG" w:eastAsia="bg-BG"/>
        </w:rPr>
        <w:t xml:space="preserve">и </w:t>
      </w:r>
      <w:r w:rsidRPr="007373AC">
        <w:rPr>
          <w:rFonts w:ascii="Times New Roman" w:hAnsi="Times New Roman"/>
          <w:szCs w:val="24"/>
          <w:lang w:val="bg-BG" w:eastAsia="bg-BG"/>
        </w:rPr>
        <w:t>средносрочна стратегия за инвестиране на средствата на ДФГУДПС за периода 2016-2018 г.</w:t>
      </w:r>
    </w:p>
    <w:p w:rsidR="00FD1D41" w:rsidRDefault="00FD1D41" w:rsidP="00FD1D41">
      <w:pPr>
        <w:spacing w:after="0" w:line="240" w:lineRule="auto"/>
        <w:ind w:firstLine="709"/>
        <w:rPr>
          <w:rFonts w:ascii="Times New Roman" w:eastAsia="Calibri" w:hAnsi="Times New Roman"/>
          <w:szCs w:val="24"/>
          <w:lang w:val="bg-BG"/>
        </w:rPr>
      </w:pPr>
      <w:r w:rsidRPr="00E71D11">
        <w:rPr>
          <w:rFonts w:ascii="Times New Roman" w:hAnsi="Times New Roman"/>
          <w:color w:val="000000"/>
          <w:szCs w:val="24"/>
          <w:lang w:val="bg-BG" w:eastAsia="bg-BG"/>
        </w:rPr>
        <w:lastRenderedPageBreak/>
        <w:t xml:space="preserve">Целта на </w:t>
      </w:r>
      <w:r>
        <w:rPr>
          <w:rFonts w:ascii="Times New Roman" w:hAnsi="Times New Roman"/>
          <w:color w:val="000000"/>
          <w:szCs w:val="24"/>
          <w:lang w:val="bg-BG" w:eastAsia="bg-BG"/>
        </w:rPr>
        <w:t>дългосрочната</w:t>
      </w:r>
      <w:r w:rsidRPr="00E71D11">
        <w:rPr>
          <w:rFonts w:ascii="Times New Roman" w:hAnsi="Times New Roman"/>
          <w:color w:val="000000"/>
          <w:szCs w:val="24"/>
          <w:lang w:val="bg-BG" w:eastAsia="bg-BG"/>
        </w:rPr>
        <w:t xml:space="preserve"> инвестиционна </w:t>
      </w:r>
      <w:r>
        <w:rPr>
          <w:rFonts w:ascii="Times New Roman" w:hAnsi="Times New Roman"/>
          <w:color w:val="000000"/>
          <w:szCs w:val="24"/>
          <w:lang w:val="bg-BG" w:eastAsia="bg-BG"/>
        </w:rPr>
        <w:t>политика е да очертае общите насоки за провеждане на инвестиционната дейност на ДФГУДПС</w:t>
      </w:r>
      <w:r>
        <w:rPr>
          <w:rFonts w:ascii="Times New Roman" w:hAnsi="Times New Roman"/>
          <w:szCs w:val="24"/>
          <w:lang w:val="bg-BG" w:eastAsia="bg-BG"/>
        </w:rPr>
        <w:t xml:space="preserve"> в дългосрочен хоризонт</w:t>
      </w:r>
      <w:r w:rsidRPr="0097107A">
        <w:rPr>
          <w:rFonts w:ascii="Times New Roman" w:hAnsi="Times New Roman"/>
          <w:szCs w:val="24"/>
          <w:lang w:val="bg-BG" w:eastAsia="bg-BG"/>
        </w:rPr>
        <w:t>.</w:t>
      </w:r>
      <w:r>
        <w:rPr>
          <w:rFonts w:ascii="Times New Roman" w:hAnsi="Times New Roman"/>
          <w:szCs w:val="24"/>
          <w:lang w:val="bg-BG" w:eastAsia="bg-BG"/>
        </w:rPr>
        <w:t xml:space="preserve"> </w:t>
      </w:r>
      <w:r w:rsidRPr="00316C0E">
        <w:rPr>
          <w:rFonts w:ascii="Times New Roman" w:hAnsi="Times New Roman"/>
          <w:szCs w:val="24"/>
          <w:lang w:val="bg-BG" w:eastAsia="bg-BG"/>
        </w:rPr>
        <w:t xml:space="preserve">Нейната задача е да определи целите и рамката </w:t>
      </w:r>
      <w:r w:rsidRPr="0097107A">
        <w:rPr>
          <w:rFonts w:ascii="Times New Roman" w:hAnsi="Times New Roman"/>
          <w:szCs w:val="24"/>
          <w:lang w:val="bg-BG" w:eastAsia="bg-BG"/>
        </w:rPr>
        <w:t>при осъществяването на инвестиционния мениджмънт при спазване принципите на надеждност, доходност, ликвидност и диверсификация</w:t>
      </w:r>
      <w:r w:rsidRPr="00A91D5C">
        <w:rPr>
          <w:rFonts w:ascii="Times New Roman" w:hAnsi="Times New Roman"/>
          <w:szCs w:val="24"/>
          <w:lang w:val="bg-BG" w:eastAsia="bg-BG"/>
        </w:rPr>
        <w:t>.</w:t>
      </w:r>
      <w:r w:rsidRPr="00A91D5C">
        <w:rPr>
          <w:rFonts w:ascii="Times New Roman" w:hAnsi="Times New Roman"/>
          <w:color w:val="000000"/>
          <w:szCs w:val="24"/>
          <w:lang w:val="bg-BG" w:eastAsia="bg-BG"/>
        </w:rPr>
        <w:t xml:space="preserve"> Инвестиционната цел</w:t>
      </w:r>
      <w:r w:rsidRPr="00E71D11">
        <w:rPr>
          <w:rFonts w:ascii="Times New Roman" w:hAnsi="Times New Roman"/>
          <w:color w:val="000000"/>
          <w:szCs w:val="24"/>
          <w:lang w:val="bg-BG" w:eastAsia="bg-BG"/>
        </w:rPr>
        <w:t xml:space="preserve"> на фонда е </w:t>
      </w:r>
      <w:r>
        <w:rPr>
          <w:rFonts w:ascii="Times New Roman" w:hAnsi="Times New Roman"/>
          <w:szCs w:val="24"/>
          <w:lang w:val="bg-BG" w:eastAsia="bg-BG"/>
        </w:rPr>
        <w:t>г</w:t>
      </w:r>
      <w:r w:rsidRPr="00ED5F27">
        <w:rPr>
          <w:rFonts w:ascii="Times New Roman" w:hAnsi="Times New Roman"/>
          <w:spacing w:val="-4"/>
          <w:szCs w:val="24"/>
          <w:lang w:val="bg-BG" w:eastAsia="bg-BG"/>
        </w:rPr>
        <w:t>арантирането на устойчивост на пенсионната система</w:t>
      </w:r>
      <w:r>
        <w:rPr>
          <w:rFonts w:ascii="Times New Roman" w:hAnsi="Times New Roman"/>
          <w:spacing w:val="-4"/>
          <w:szCs w:val="24"/>
          <w:lang w:val="bg-BG" w:eastAsia="bg-BG"/>
        </w:rPr>
        <w:t>, т.е.</w:t>
      </w:r>
      <w:r w:rsidRPr="00ED5F27">
        <w:rPr>
          <w:rFonts w:ascii="Times New Roman" w:hAnsi="Times New Roman"/>
          <w:spacing w:val="-4"/>
          <w:szCs w:val="24"/>
          <w:lang w:val="bg-BG" w:eastAsia="bg-BG"/>
        </w:rPr>
        <w:t xml:space="preserve"> осигуряване на средства за пенсии, в момент когато </w:t>
      </w:r>
      <w:proofErr w:type="spellStart"/>
      <w:r w:rsidRPr="00ED5F27">
        <w:rPr>
          <w:rFonts w:ascii="Times New Roman" w:hAnsi="Times New Roman"/>
          <w:spacing w:val="-4"/>
          <w:szCs w:val="24"/>
          <w:lang w:val="bg-BG" w:eastAsia="bg-BG"/>
        </w:rPr>
        <w:t>актюерските</w:t>
      </w:r>
      <w:proofErr w:type="spellEnd"/>
      <w:r w:rsidRPr="00ED5F27">
        <w:rPr>
          <w:rFonts w:ascii="Times New Roman" w:hAnsi="Times New Roman"/>
          <w:spacing w:val="-4"/>
          <w:szCs w:val="24"/>
          <w:lang w:val="bg-BG" w:eastAsia="bg-BG"/>
        </w:rPr>
        <w:t xml:space="preserve"> разчети показват необходимост от допълнително финансиране.</w:t>
      </w:r>
      <w:r>
        <w:rPr>
          <w:rFonts w:ascii="Times New Roman" w:eastAsia="Calibri" w:hAnsi="Times New Roman"/>
          <w:szCs w:val="24"/>
          <w:lang w:val="bg-BG"/>
        </w:rPr>
        <w:t xml:space="preserve"> При определянето на текущата инвестиционна политика на фонда са взети предвид текущите</w:t>
      </w:r>
      <w:r w:rsidRPr="008D08D2">
        <w:rPr>
          <w:rFonts w:ascii="Times New Roman" w:eastAsia="Calibri" w:hAnsi="Times New Roman"/>
          <w:szCs w:val="24"/>
          <w:lang w:val="bg-BG"/>
        </w:rPr>
        <w:t xml:space="preserve"> пазарни условия </w:t>
      </w:r>
      <w:r>
        <w:rPr>
          <w:rFonts w:ascii="Times New Roman" w:eastAsia="Calibri" w:hAnsi="Times New Roman"/>
          <w:szCs w:val="24"/>
          <w:lang w:val="bg-BG"/>
        </w:rPr>
        <w:t>и степента на инвестиционен риск.</w:t>
      </w:r>
    </w:p>
    <w:p w:rsidR="00FD1D41" w:rsidRDefault="00FD1D41" w:rsidP="00FD1D41">
      <w:pPr>
        <w:spacing w:after="0" w:line="240" w:lineRule="auto"/>
        <w:rPr>
          <w:rFonts w:ascii="Times New Roman" w:hAnsi="Times New Roman"/>
          <w:szCs w:val="24"/>
          <w:lang w:val="bg-BG" w:eastAsia="bg-BG"/>
        </w:rPr>
      </w:pPr>
      <w:r>
        <w:rPr>
          <w:rFonts w:ascii="Times New Roman" w:hAnsi="Times New Roman"/>
          <w:szCs w:val="24"/>
          <w:lang w:val="bg-BG" w:eastAsia="bg-BG"/>
        </w:rPr>
        <w:t>Дългосрочната инвестиционна политика на ДФГУДПС</w:t>
      </w:r>
      <w:r w:rsidRPr="004342CE">
        <w:rPr>
          <w:rFonts w:ascii="Times New Roman" w:hAnsi="Times New Roman"/>
          <w:szCs w:val="24"/>
          <w:lang w:val="bg-BG" w:eastAsia="bg-BG"/>
        </w:rPr>
        <w:t xml:space="preserve"> предвижда запазване на прилагания до сега консервативен подхо</w:t>
      </w:r>
      <w:r>
        <w:rPr>
          <w:rFonts w:ascii="Times New Roman" w:hAnsi="Times New Roman"/>
          <w:szCs w:val="24"/>
          <w:lang w:val="bg-BG" w:eastAsia="bg-BG"/>
        </w:rPr>
        <w:t>д. Активите на фонда се управляват при</w:t>
      </w:r>
      <w:r w:rsidRPr="004342CE">
        <w:rPr>
          <w:rFonts w:ascii="Times New Roman" w:hAnsi="Times New Roman"/>
          <w:szCs w:val="24"/>
          <w:lang w:val="bg-BG" w:eastAsia="bg-BG"/>
        </w:rPr>
        <w:t xml:space="preserve"> спазване прин</w:t>
      </w:r>
      <w:r>
        <w:rPr>
          <w:rFonts w:ascii="Times New Roman" w:hAnsi="Times New Roman"/>
          <w:szCs w:val="24"/>
          <w:lang w:val="bg-BG" w:eastAsia="bg-BG"/>
        </w:rPr>
        <w:t xml:space="preserve">ципите на надеждност, </w:t>
      </w:r>
      <w:r w:rsidRPr="004342CE">
        <w:rPr>
          <w:rFonts w:ascii="Times New Roman" w:hAnsi="Times New Roman"/>
          <w:szCs w:val="24"/>
          <w:lang w:val="bg-BG" w:eastAsia="bg-BG"/>
        </w:rPr>
        <w:t>ликвидност</w:t>
      </w:r>
      <w:r>
        <w:rPr>
          <w:rFonts w:ascii="Times New Roman" w:hAnsi="Times New Roman"/>
          <w:szCs w:val="24"/>
          <w:lang w:val="bg-BG" w:eastAsia="bg-BG"/>
        </w:rPr>
        <w:t xml:space="preserve"> и прозрачност. Настоящите пазарни условия не предполагат реализирането на висока доходност при спазване на ниски нива на инвестиционен риск, поради което най-добрата алтернатива за инвестиране на средствата на фонда ще продължи да бъде под формата на депозит в централната банка или други инструменти, които тя предлага.</w:t>
      </w:r>
    </w:p>
    <w:p w:rsidR="00FD1D41" w:rsidRDefault="00FD1D41" w:rsidP="00FD1D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Cs w:val="24"/>
          <w:lang w:val="bg-BG" w:eastAsia="bg-BG"/>
        </w:rPr>
      </w:pPr>
      <w:r w:rsidRPr="00B65620">
        <w:rPr>
          <w:rFonts w:ascii="TimesNewRomanPSMT" w:hAnsi="TimesNewRomanPSMT" w:cs="TimesNewRomanPSMT"/>
          <w:szCs w:val="24"/>
          <w:lang w:val="bg-BG" w:eastAsia="bg-BG"/>
        </w:rPr>
        <w:t xml:space="preserve">Времевият хоризонт на </w:t>
      </w:r>
      <w:r>
        <w:rPr>
          <w:rFonts w:ascii="Times New Roman" w:hAnsi="Times New Roman"/>
          <w:color w:val="000000"/>
          <w:szCs w:val="24"/>
          <w:lang w:val="bg-BG" w:eastAsia="bg-BG"/>
        </w:rPr>
        <w:t>с</w:t>
      </w:r>
      <w:r w:rsidRPr="00B65620">
        <w:rPr>
          <w:rFonts w:ascii="Times New Roman" w:hAnsi="Times New Roman"/>
          <w:color w:val="000000"/>
          <w:szCs w:val="24"/>
          <w:lang w:val="bg-BG" w:eastAsia="bg-BG"/>
        </w:rPr>
        <w:t xml:space="preserve">редносрочната стратегия за инвестиране на средствата на </w:t>
      </w:r>
      <w:r w:rsidRPr="00B65620">
        <w:rPr>
          <w:rFonts w:ascii="Times New Roman" w:hAnsi="Times New Roman"/>
          <w:szCs w:val="24"/>
          <w:lang w:val="bg-BG" w:eastAsia="bg-BG"/>
        </w:rPr>
        <w:t>ДФГУДПС</w:t>
      </w:r>
      <w:r w:rsidRPr="00B65620">
        <w:rPr>
          <w:rFonts w:ascii="Times New Roman" w:hAnsi="Times New Roman"/>
          <w:color w:val="000000"/>
          <w:szCs w:val="24"/>
          <w:lang w:val="bg-BG" w:eastAsia="bg-BG"/>
        </w:rPr>
        <w:t xml:space="preserve"> </w:t>
      </w:r>
      <w:r w:rsidRPr="00B65620">
        <w:rPr>
          <w:rFonts w:ascii="TimesNewRomanPSMT" w:hAnsi="TimesNewRomanPSMT" w:cs="TimesNewRomanPSMT"/>
          <w:szCs w:val="24"/>
          <w:lang w:val="bg-BG" w:eastAsia="bg-BG"/>
        </w:rPr>
        <w:t>е периода 2016-2018 година и</w:t>
      </w:r>
      <w:r w:rsidRPr="00B65620">
        <w:rPr>
          <w:rFonts w:ascii="Times New Roman" w:hAnsi="Times New Roman"/>
          <w:color w:val="000000"/>
          <w:szCs w:val="24"/>
          <w:lang w:val="bg-BG" w:eastAsia="bg-BG"/>
        </w:rPr>
        <w:t xml:space="preserve"> акцентира върху управлението на паричния ресурс на </w:t>
      </w:r>
      <w:r>
        <w:rPr>
          <w:rFonts w:ascii="Times New Roman" w:hAnsi="Times New Roman"/>
          <w:color w:val="000000"/>
          <w:szCs w:val="24"/>
          <w:lang w:val="bg-BG" w:eastAsia="bg-BG"/>
        </w:rPr>
        <w:t>ф</w:t>
      </w:r>
      <w:r w:rsidRPr="00B65620">
        <w:rPr>
          <w:rFonts w:ascii="Times New Roman" w:hAnsi="Times New Roman"/>
          <w:color w:val="000000"/>
          <w:szCs w:val="24"/>
          <w:lang w:val="bg-BG" w:eastAsia="bg-BG"/>
        </w:rPr>
        <w:t>онда в средносрочен аспект.</w:t>
      </w:r>
    </w:p>
    <w:p w:rsidR="00FD1D41" w:rsidRDefault="00FD1D41" w:rsidP="00FD1D41">
      <w:pPr>
        <w:spacing w:after="0" w:line="240" w:lineRule="auto"/>
        <w:rPr>
          <w:rFonts w:ascii="Times New Roman" w:hAnsi="Times New Roman"/>
          <w:szCs w:val="24"/>
          <w:lang w:val="bg-BG" w:eastAsia="bg-BG"/>
        </w:rPr>
      </w:pPr>
      <w:r w:rsidRPr="00235AE9">
        <w:rPr>
          <w:rFonts w:ascii="Times New Roman" w:hAnsi="Times New Roman"/>
          <w:szCs w:val="24"/>
          <w:lang w:val="bg-BG" w:eastAsia="bg-BG"/>
        </w:rPr>
        <w:t>Хоризонтът на стратегията</w:t>
      </w:r>
      <w:r>
        <w:rPr>
          <w:rFonts w:ascii="Times New Roman" w:hAnsi="Times New Roman"/>
          <w:szCs w:val="24"/>
          <w:lang w:val="bg-BG" w:eastAsia="bg-BG"/>
        </w:rPr>
        <w:t xml:space="preserve"> (до 2018 г.)</w:t>
      </w:r>
      <w:r w:rsidRPr="00235AE9">
        <w:rPr>
          <w:rFonts w:ascii="Times New Roman" w:hAnsi="Times New Roman"/>
          <w:szCs w:val="24"/>
          <w:lang w:val="bg-BG" w:eastAsia="bg-BG"/>
        </w:rPr>
        <w:t xml:space="preserve"> е съобразен с предвидения срок от законо</w:t>
      </w:r>
      <w:r>
        <w:rPr>
          <w:rFonts w:ascii="Times New Roman" w:hAnsi="Times New Roman"/>
          <w:szCs w:val="24"/>
          <w:lang w:val="bg-BG" w:eastAsia="bg-BG"/>
        </w:rPr>
        <w:t>дателя, след който средства от ф</w:t>
      </w:r>
      <w:r w:rsidRPr="00235AE9">
        <w:rPr>
          <w:rFonts w:ascii="Times New Roman" w:hAnsi="Times New Roman"/>
          <w:szCs w:val="24"/>
          <w:lang w:val="bg-BG" w:eastAsia="bg-BG"/>
        </w:rPr>
        <w:t xml:space="preserve">онда могат да бъдат трансферирани към бюджета на </w:t>
      </w:r>
      <w:r>
        <w:rPr>
          <w:rFonts w:ascii="Times New Roman" w:hAnsi="Times New Roman"/>
          <w:szCs w:val="24"/>
          <w:lang w:val="bg-BG" w:eastAsia="bg-BG"/>
        </w:rPr>
        <w:t>д</w:t>
      </w:r>
      <w:r w:rsidRPr="00235AE9">
        <w:rPr>
          <w:rFonts w:ascii="Times New Roman" w:hAnsi="Times New Roman"/>
          <w:szCs w:val="24"/>
          <w:lang w:val="bg-BG" w:eastAsia="bg-BG"/>
        </w:rPr>
        <w:t>ържавното обществено осигуряване. Предвиден</w:t>
      </w:r>
      <w:r>
        <w:rPr>
          <w:rFonts w:ascii="Times New Roman" w:hAnsi="Times New Roman"/>
          <w:szCs w:val="24"/>
          <w:lang w:val="bg-BG" w:eastAsia="bg-BG"/>
        </w:rPr>
        <w:t>а</w:t>
      </w:r>
      <w:r w:rsidRPr="00235AE9">
        <w:rPr>
          <w:rFonts w:ascii="Times New Roman" w:hAnsi="Times New Roman"/>
          <w:szCs w:val="24"/>
          <w:lang w:val="bg-BG" w:eastAsia="bg-BG"/>
        </w:rPr>
        <w:t xml:space="preserve"> е </w:t>
      </w:r>
      <w:r>
        <w:rPr>
          <w:rFonts w:ascii="Times New Roman" w:hAnsi="Times New Roman"/>
          <w:szCs w:val="24"/>
          <w:lang w:val="bg-BG" w:eastAsia="bg-BG"/>
        </w:rPr>
        <w:t xml:space="preserve">възможност </w:t>
      </w:r>
      <w:r w:rsidRPr="00235AE9">
        <w:rPr>
          <w:rFonts w:ascii="Times New Roman" w:hAnsi="Times New Roman"/>
          <w:szCs w:val="24"/>
          <w:lang w:val="bg-BG" w:eastAsia="bg-BG"/>
        </w:rPr>
        <w:t xml:space="preserve">след 14.11.2018 г. със закона за държавния бюджет на Република България за съответната година част от акумулираните средства да бъде трансферирана към </w:t>
      </w:r>
      <w:r>
        <w:rPr>
          <w:rFonts w:ascii="Times New Roman" w:hAnsi="Times New Roman"/>
          <w:szCs w:val="24"/>
          <w:lang w:val="bg-BG" w:eastAsia="bg-BG"/>
        </w:rPr>
        <w:t>бюджета на д</w:t>
      </w:r>
      <w:r w:rsidRPr="00235AE9">
        <w:rPr>
          <w:rFonts w:ascii="Times New Roman" w:hAnsi="Times New Roman"/>
          <w:szCs w:val="24"/>
          <w:lang w:val="bg-BG" w:eastAsia="bg-BG"/>
        </w:rPr>
        <w:t>ържавното обществено осигуряване. При този времеви хоризонт и отчитайки предвидените в Закона за Д</w:t>
      </w:r>
      <w:r>
        <w:rPr>
          <w:rFonts w:ascii="Times New Roman" w:hAnsi="Times New Roman"/>
          <w:szCs w:val="24"/>
          <w:lang w:val="bg-BG" w:eastAsia="bg-BG"/>
        </w:rPr>
        <w:t>ФГУДПС</w:t>
      </w:r>
      <w:r w:rsidRPr="00235AE9">
        <w:rPr>
          <w:rFonts w:ascii="Times New Roman" w:hAnsi="Times New Roman"/>
          <w:szCs w:val="24"/>
          <w:lang w:val="bg-BG" w:eastAsia="bg-BG"/>
        </w:rPr>
        <w:t xml:space="preserve"> инвестиционни възможности, настоящата стратегия се придържа към принципите за надеждност, висока ликвидност и минимизиране на потенциалните рискове по отношение на натрупаните </w:t>
      </w:r>
      <w:r>
        <w:rPr>
          <w:rFonts w:ascii="Times New Roman" w:hAnsi="Times New Roman"/>
          <w:szCs w:val="24"/>
          <w:lang w:val="bg-BG" w:eastAsia="bg-BG"/>
        </w:rPr>
        <w:t>средства на ф</w:t>
      </w:r>
      <w:r w:rsidRPr="00235AE9">
        <w:rPr>
          <w:rFonts w:ascii="Times New Roman" w:hAnsi="Times New Roman"/>
          <w:szCs w:val="24"/>
          <w:lang w:val="bg-BG" w:eastAsia="bg-BG"/>
        </w:rPr>
        <w:t xml:space="preserve">онда. </w:t>
      </w:r>
    </w:p>
    <w:p w:rsidR="00FD1D41" w:rsidRDefault="00FD1D41" w:rsidP="00FD1D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Cs w:val="24"/>
          <w:lang w:val="bg-BG" w:eastAsia="bg-BG"/>
        </w:rPr>
      </w:pPr>
      <w:r w:rsidRPr="00B65620">
        <w:rPr>
          <w:rFonts w:ascii="Times New Roman" w:hAnsi="Times New Roman"/>
          <w:color w:val="000000"/>
          <w:szCs w:val="24"/>
          <w:lang w:val="bg-BG" w:eastAsia="bg-BG"/>
        </w:rPr>
        <w:t>Стратегията ще бъде актуализирана ежегодно в съответствие с икономическото развитие, пазарните показатели и постигнатите резултати и ще бъде одобрявана от Министерския съвет. Това позволява своевременното и адекватно предефиниране на част от целите и действията в хода на нейното изпълнение.</w:t>
      </w:r>
    </w:p>
    <w:p w:rsidR="00FD1D41" w:rsidRPr="00B65620" w:rsidRDefault="00FD1D41" w:rsidP="00FD1D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Cs w:val="24"/>
          <w:lang w:val="bg-BG" w:eastAsia="bg-BG"/>
        </w:rPr>
      </w:pPr>
      <w:r w:rsidRPr="00B65620">
        <w:rPr>
          <w:rFonts w:ascii="Times New Roman" w:hAnsi="Times New Roman"/>
          <w:szCs w:val="24"/>
          <w:lang w:val="bg-BG" w:eastAsia="bg-BG"/>
        </w:rPr>
        <w:t xml:space="preserve">Функционалната същност на Стратегията като цяло, очертава намеренията при инвестиране на средствата на </w:t>
      </w:r>
      <w:r w:rsidRPr="00B65620">
        <w:rPr>
          <w:rFonts w:ascii="Times New Roman" w:hAnsi="Times New Roman"/>
          <w:color w:val="000000"/>
          <w:szCs w:val="24"/>
          <w:lang w:val="bg-BG" w:eastAsia="bg-BG"/>
        </w:rPr>
        <w:t>ДФГУДПС</w:t>
      </w:r>
      <w:r w:rsidRPr="00B65620">
        <w:rPr>
          <w:rFonts w:ascii="Times New Roman" w:hAnsi="Times New Roman"/>
          <w:szCs w:val="24"/>
          <w:lang w:val="bg-BG" w:eastAsia="bg-BG"/>
        </w:rPr>
        <w:t>, както и дефинира инструментариума за тяхното реализиране. Публичното й оповестяване е предпоставка за провеждане на очертаната средносрочна политика по управление на ресурса по прозрачен и предвидим начин.</w:t>
      </w:r>
    </w:p>
    <w:p w:rsidR="00FD1D41" w:rsidRPr="00B65620" w:rsidRDefault="00FD1D41" w:rsidP="00FD1D41">
      <w:pPr>
        <w:spacing w:after="0" w:line="240" w:lineRule="auto"/>
        <w:rPr>
          <w:rFonts w:ascii="Times New Roman" w:hAnsi="Times New Roman"/>
          <w:color w:val="000000"/>
          <w:szCs w:val="24"/>
          <w:lang w:val="bg-BG" w:eastAsia="bg-BG"/>
        </w:rPr>
      </w:pPr>
      <w:r w:rsidRPr="00B65620">
        <w:rPr>
          <w:rFonts w:ascii="Times New Roman" w:hAnsi="Times New Roman"/>
          <w:color w:val="000000"/>
          <w:szCs w:val="24"/>
          <w:lang w:val="bg-BG" w:eastAsia="bg-BG"/>
        </w:rPr>
        <w:t xml:space="preserve">Средносрочната стратегия за инвестиране на средствата на фонда представлява последователно и </w:t>
      </w:r>
      <w:r w:rsidRPr="0097107A">
        <w:rPr>
          <w:rFonts w:ascii="Times New Roman" w:hAnsi="Times New Roman"/>
          <w:color w:val="000000"/>
          <w:szCs w:val="24"/>
          <w:lang w:val="bg-BG" w:eastAsia="bg-BG"/>
        </w:rPr>
        <w:t>структурирано описание</w:t>
      </w:r>
      <w:r w:rsidRPr="00B65620">
        <w:rPr>
          <w:rFonts w:ascii="Times New Roman" w:hAnsi="Times New Roman"/>
          <w:color w:val="000000"/>
          <w:szCs w:val="24"/>
          <w:lang w:val="bg-BG" w:eastAsia="bg-BG"/>
        </w:rPr>
        <w:t xml:space="preserve"> на начина, по който се вземат решенията с оглед постигане на целите.</w:t>
      </w:r>
    </w:p>
    <w:p w:rsidR="00FD1D41" w:rsidRPr="00B65620" w:rsidRDefault="00FD1D41" w:rsidP="00FD1D41">
      <w:pPr>
        <w:spacing w:after="0" w:line="240" w:lineRule="auto"/>
        <w:rPr>
          <w:rFonts w:ascii="Times New Roman" w:hAnsi="Times New Roman"/>
          <w:color w:val="000000"/>
          <w:szCs w:val="24"/>
          <w:lang w:val="bg-BG" w:eastAsia="bg-BG"/>
        </w:rPr>
      </w:pPr>
      <w:r w:rsidRPr="00776B08">
        <w:rPr>
          <w:rFonts w:ascii="Times New Roman" w:hAnsi="Times New Roman"/>
          <w:color w:val="000000"/>
          <w:szCs w:val="24"/>
          <w:lang w:val="bg-BG" w:eastAsia="bg-BG"/>
        </w:rPr>
        <w:t>Средносрочната стратегия изпълнява две важни задачи. Първо, като налага ясна структура на самия процес на вземане на решения. Второ, стратегията е средство за публичност на решенията относно инвестирането на ресурса пред обществеността.</w:t>
      </w:r>
      <w:r w:rsidRPr="00B65620">
        <w:rPr>
          <w:rFonts w:ascii="Times New Roman" w:hAnsi="Times New Roman"/>
          <w:color w:val="000000"/>
          <w:szCs w:val="24"/>
          <w:lang w:val="bg-BG" w:eastAsia="bg-BG"/>
        </w:rPr>
        <w:t xml:space="preserve"> </w:t>
      </w:r>
    </w:p>
    <w:p w:rsidR="00FD1D41" w:rsidRPr="0007074B" w:rsidRDefault="00FD1D41" w:rsidP="00FD1D41">
      <w:pPr>
        <w:spacing w:after="0" w:line="240" w:lineRule="auto"/>
        <w:rPr>
          <w:rFonts w:ascii="Times New Roman" w:hAnsi="Times New Roman"/>
          <w:szCs w:val="24"/>
          <w:lang w:val="bg-BG" w:eastAsia="bg-BG"/>
        </w:rPr>
      </w:pPr>
      <w:r>
        <w:rPr>
          <w:rFonts w:ascii="Times New Roman" w:hAnsi="Times New Roman"/>
          <w:szCs w:val="24"/>
          <w:lang w:val="bg-BG" w:eastAsia="bg-BG"/>
        </w:rPr>
        <w:t>П</w:t>
      </w:r>
      <w:r w:rsidRPr="0007074B">
        <w:rPr>
          <w:rFonts w:ascii="Times New Roman" w:hAnsi="Times New Roman"/>
          <w:szCs w:val="24"/>
          <w:lang w:val="bg-BG" w:eastAsia="bg-BG"/>
        </w:rPr>
        <w:t>редвид ситуацията на пазарите, консервативният подход, който се прилага безспорно е най-рационален, което обезпеч</w:t>
      </w:r>
      <w:r>
        <w:rPr>
          <w:rFonts w:ascii="Times New Roman" w:hAnsi="Times New Roman"/>
          <w:szCs w:val="24"/>
          <w:lang w:val="bg-BG" w:eastAsia="bg-BG"/>
        </w:rPr>
        <w:t>ава</w:t>
      </w:r>
      <w:r w:rsidRPr="0007074B">
        <w:rPr>
          <w:rFonts w:ascii="Times New Roman" w:hAnsi="Times New Roman"/>
          <w:szCs w:val="24"/>
          <w:lang w:val="bg-BG" w:eastAsia="bg-BG"/>
        </w:rPr>
        <w:t xml:space="preserve"> недопускането на загуби от инвестиционен характер и запазването на номиналния размер на акумулираните във </w:t>
      </w:r>
      <w:r>
        <w:rPr>
          <w:rFonts w:ascii="Times New Roman" w:hAnsi="Times New Roman"/>
          <w:szCs w:val="24"/>
          <w:lang w:val="bg-BG" w:eastAsia="bg-BG"/>
        </w:rPr>
        <w:t>Ф</w:t>
      </w:r>
      <w:r w:rsidRPr="0007074B">
        <w:rPr>
          <w:rFonts w:ascii="Times New Roman" w:hAnsi="Times New Roman"/>
          <w:szCs w:val="24"/>
          <w:lang w:val="bg-BG" w:eastAsia="bg-BG"/>
        </w:rPr>
        <w:t xml:space="preserve">онда публични средства. Поставянето на акцент върху сигурността гарантира отсъствието на поети рискове. Важен аргумент в посока средствата на фонда да са в БНБ е и запазването на висока прозрачност. </w:t>
      </w:r>
    </w:p>
    <w:p w:rsidR="00FD1D41" w:rsidRPr="0032486C" w:rsidRDefault="00FD1D41" w:rsidP="00FD1D41">
      <w:pPr>
        <w:spacing w:after="0" w:line="240" w:lineRule="auto"/>
        <w:ind w:right="113" w:firstLine="709"/>
        <w:rPr>
          <w:rFonts w:ascii="Times New Roman" w:hAnsi="Times New Roman"/>
          <w:szCs w:val="24"/>
          <w:lang w:val="bg-BG"/>
        </w:rPr>
      </w:pPr>
      <w:bookmarkStart w:id="0" w:name="to_paragraph_id3919087"/>
      <w:bookmarkStart w:id="1" w:name="to_paragraph_id8012284"/>
      <w:bookmarkEnd w:id="0"/>
      <w:bookmarkEnd w:id="1"/>
      <w:r w:rsidRPr="0032486C">
        <w:rPr>
          <w:rFonts w:ascii="Times New Roman" w:hAnsi="Times New Roman"/>
          <w:szCs w:val="24"/>
          <w:lang w:val="bg-BG"/>
        </w:rPr>
        <w:lastRenderedPageBreak/>
        <w:t>С решение на УС на ДФГУДПС през 201</w:t>
      </w:r>
      <w:r>
        <w:rPr>
          <w:rFonts w:ascii="Times New Roman" w:hAnsi="Times New Roman"/>
          <w:szCs w:val="24"/>
          <w:lang w:val="en-US"/>
        </w:rPr>
        <w:t>5</w:t>
      </w:r>
      <w:r w:rsidRPr="0032486C">
        <w:rPr>
          <w:rFonts w:ascii="Times New Roman" w:hAnsi="Times New Roman"/>
          <w:szCs w:val="24"/>
          <w:lang w:val="bg-BG"/>
        </w:rPr>
        <w:t xml:space="preserve"> г. бе одобрен Годишен доклад и отчет за дейността на ДФГУДПС за 201</w:t>
      </w:r>
      <w:r>
        <w:rPr>
          <w:rFonts w:ascii="Times New Roman" w:hAnsi="Times New Roman"/>
          <w:szCs w:val="24"/>
          <w:lang w:val="en-US"/>
        </w:rPr>
        <w:t>4</w:t>
      </w:r>
      <w:r w:rsidRPr="0032486C">
        <w:rPr>
          <w:rFonts w:ascii="Times New Roman" w:hAnsi="Times New Roman"/>
          <w:szCs w:val="24"/>
          <w:lang w:val="bg-BG"/>
        </w:rPr>
        <w:t xml:space="preserve"> г., в съответствие с чл. 5, ал. 12 от Закона за ДФГУДПС. Съгласно разпоредбите на закона отчетът за дейността на фонда бе разгледан от Министерския съвет във връзка с чл. 24, ал. 3 от същия закон и бе внесен в Народното събрание като съставна част на отчета за изпълнението на държавния бюджет за 201</w:t>
      </w:r>
      <w:r>
        <w:rPr>
          <w:rFonts w:ascii="Times New Roman" w:hAnsi="Times New Roman"/>
          <w:szCs w:val="24"/>
          <w:lang w:val="en-US"/>
        </w:rPr>
        <w:t>4</w:t>
      </w:r>
      <w:r w:rsidRPr="0032486C">
        <w:rPr>
          <w:rFonts w:ascii="Times New Roman" w:hAnsi="Times New Roman"/>
          <w:szCs w:val="24"/>
          <w:lang w:val="bg-BG"/>
        </w:rPr>
        <w:t xml:space="preserve"> г.</w:t>
      </w:r>
    </w:p>
    <w:p w:rsidR="00FD1D41" w:rsidRPr="0032486C" w:rsidRDefault="00FD1D41" w:rsidP="00FD1D41">
      <w:pPr>
        <w:spacing w:after="0" w:line="240" w:lineRule="auto"/>
        <w:ind w:left="342" w:right="113" w:firstLine="367"/>
        <w:rPr>
          <w:rFonts w:ascii="Times New Roman" w:hAnsi="Times New Roman"/>
          <w:sz w:val="12"/>
          <w:szCs w:val="12"/>
          <w:lang w:val="bg-BG"/>
        </w:rPr>
      </w:pPr>
    </w:p>
    <w:p w:rsidR="00FD1D41" w:rsidRDefault="00FD1D41" w:rsidP="00FD1D41">
      <w:pPr>
        <w:ind w:left="342" w:right="113" w:firstLine="367"/>
        <w:jc w:val="center"/>
        <w:rPr>
          <w:rFonts w:ascii="Times New Roman" w:hAnsi="Times New Roman"/>
          <w:i/>
          <w:smallCaps/>
          <w:szCs w:val="24"/>
          <w:lang w:val="en-US"/>
        </w:rPr>
      </w:pPr>
      <w:bookmarkStart w:id="2" w:name="_GoBack"/>
    </w:p>
    <w:bookmarkEnd w:id="2"/>
    <w:p w:rsidR="00FD1D41" w:rsidRPr="0032486C" w:rsidRDefault="00FD1D41" w:rsidP="00FD1D41">
      <w:pPr>
        <w:ind w:left="342" w:right="113" w:firstLine="367"/>
        <w:jc w:val="center"/>
        <w:rPr>
          <w:rFonts w:ascii="Times New Roman" w:hAnsi="Times New Roman"/>
          <w:i/>
          <w:smallCaps/>
          <w:szCs w:val="24"/>
          <w:lang w:val="bg-BG"/>
        </w:rPr>
      </w:pPr>
      <w:r w:rsidRPr="0032486C">
        <w:rPr>
          <w:rFonts w:ascii="Times New Roman" w:hAnsi="Times New Roman"/>
          <w:i/>
          <w:smallCaps/>
          <w:szCs w:val="24"/>
          <w:lang w:val="bg-BG"/>
        </w:rPr>
        <w:t>Част втора</w:t>
      </w:r>
    </w:p>
    <w:p w:rsidR="00FD1D41" w:rsidRPr="008F3865" w:rsidRDefault="00FD1D41" w:rsidP="00FD1D41">
      <w:pPr>
        <w:spacing w:after="0" w:line="240" w:lineRule="auto"/>
        <w:ind w:left="342" w:right="113" w:firstLine="367"/>
        <w:jc w:val="center"/>
        <w:rPr>
          <w:rFonts w:ascii="Times New Roman" w:hAnsi="Times New Roman"/>
          <w:b/>
          <w:color w:val="008000"/>
          <w:sz w:val="16"/>
          <w:szCs w:val="16"/>
          <w:lang w:val="bg-BG"/>
        </w:rPr>
      </w:pPr>
    </w:p>
    <w:p w:rsidR="00FD1D41" w:rsidRPr="0032486C" w:rsidRDefault="00FD1D41" w:rsidP="00FD1D41">
      <w:pPr>
        <w:spacing w:after="0" w:line="240" w:lineRule="auto"/>
        <w:ind w:left="340" w:right="113" w:firstLine="369"/>
        <w:jc w:val="center"/>
        <w:rPr>
          <w:rFonts w:ascii="Times New Roman" w:hAnsi="Times New Roman"/>
          <w:b/>
          <w:color w:val="008000"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color w:val="008000"/>
          <w:sz w:val="22"/>
          <w:szCs w:val="22"/>
          <w:lang w:val="bg-BG"/>
        </w:rPr>
        <w:t>ТЕКУЩО СЪСТОЯНИЕ НА ДЪРЖАВНИЯ ФОНД ЗА ГАРАНТИРАНЕ УСТОЙЧИВОСТ НА ДЪРЖАВНАТА ПЕНСИОННА СИСТЕМА</w:t>
      </w:r>
    </w:p>
    <w:p w:rsidR="00FD1D41" w:rsidRPr="008F3865" w:rsidRDefault="00FD1D41" w:rsidP="00FD1D41">
      <w:pPr>
        <w:spacing w:after="0"/>
        <w:ind w:left="342" w:right="113" w:firstLine="367"/>
        <w:rPr>
          <w:rFonts w:ascii="Times New Roman" w:hAnsi="Times New Roman"/>
          <w:sz w:val="16"/>
          <w:szCs w:val="16"/>
          <w:lang w:val="bg-BG"/>
        </w:rPr>
      </w:pPr>
    </w:p>
    <w:p w:rsidR="00FD1D41" w:rsidRPr="0032486C" w:rsidRDefault="00FD1D41" w:rsidP="00FD1D41">
      <w:pPr>
        <w:tabs>
          <w:tab w:val="left" w:pos="2340"/>
        </w:tabs>
        <w:ind w:left="342" w:right="113" w:firstLine="741"/>
        <w:rPr>
          <w:rFonts w:ascii="Times New Roman" w:hAnsi="Times New Roman"/>
          <w:b/>
          <w:smallCaps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z w:val="22"/>
          <w:szCs w:val="22"/>
          <w:lang w:val="bg-BG"/>
        </w:rPr>
        <w:t xml:space="preserve">І. </w:t>
      </w:r>
      <w:r w:rsidRPr="0032486C">
        <w:rPr>
          <w:rFonts w:ascii="Times New Roman" w:hAnsi="Times New Roman"/>
          <w:b/>
          <w:smallCaps/>
          <w:sz w:val="22"/>
          <w:szCs w:val="22"/>
          <w:lang w:val="bg-BG"/>
        </w:rPr>
        <w:t xml:space="preserve">ПРИХОДОИЗТОЧНИЦИ </w:t>
      </w:r>
    </w:p>
    <w:p w:rsidR="00FD1D41" w:rsidRPr="0032486C" w:rsidRDefault="00FD1D41" w:rsidP="00FD1D41">
      <w:pPr>
        <w:spacing w:after="0" w:line="240" w:lineRule="atLeast"/>
        <w:ind w:left="340" w:right="113" w:firstLine="743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>В съответствие с разпоредбите на чл.</w:t>
      </w:r>
      <w:r>
        <w:rPr>
          <w:rFonts w:ascii="Times New Roman" w:hAnsi="Times New Roman"/>
          <w:szCs w:val="24"/>
          <w:lang w:val="bg-BG"/>
        </w:rPr>
        <w:t xml:space="preserve"> </w:t>
      </w:r>
      <w:proofErr w:type="gramStart"/>
      <w:r>
        <w:rPr>
          <w:rFonts w:ascii="Times New Roman" w:hAnsi="Times New Roman"/>
          <w:szCs w:val="24"/>
          <w:lang w:val="en-US"/>
        </w:rPr>
        <w:t>1</w:t>
      </w:r>
      <w:r>
        <w:rPr>
          <w:rFonts w:ascii="Times New Roman" w:hAnsi="Times New Roman"/>
          <w:szCs w:val="24"/>
          <w:lang w:val="bg-BG"/>
        </w:rPr>
        <w:t>, ал.</w:t>
      </w:r>
      <w:proofErr w:type="gramEnd"/>
      <w:r>
        <w:rPr>
          <w:rFonts w:ascii="Times New Roman" w:hAnsi="Times New Roman"/>
          <w:szCs w:val="24"/>
          <w:lang w:val="bg-BG"/>
        </w:rPr>
        <w:t xml:space="preserve"> 4 и чл. </w:t>
      </w:r>
      <w:r w:rsidRPr="0032486C">
        <w:rPr>
          <w:rFonts w:ascii="Times New Roman" w:hAnsi="Times New Roman"/>
          <w:szCs w:val="24"/>
          <w:lang w:val="bg-BG"/>
        </w:rPr>
        <w:t xml:space="preserve">11 от Закона за ДФГУДПС </w:t>
      </w:r>
      <w:r w:rsidRPr="000A5242">
        <w:rPr>
          <w:rFonts w:ascii="Times New Roman" w:hAnsi="Times New Roman"/>
          <w:szCs w:val="24"/>
          <w:lang w:val="bg-BG"/>
        </w:rPr>
        <w:t>във връзка с чл.129, ал. 12 от Кодекса за социално осигуряване</w:t>
      </w:r>
      <w:r w:rsidRPr="0032486C">
        <w:rPr>
          <w:rFonts w:ascii="Times New Roman" w:hAnsi="Times New Roman"/>
          <w:szCs w:val="24"/>
          <w:lang w:val="bg-BG"/>
        </w:rPr>
        <w:t xml:space="preserve"> по сметка на фонда през 201</w:t>
      </w:r>
      <w:r>
        <w:rPr>
          <w:rFonts w:ascii="Times New Roman" w:hAnsi="Times New Roman"/>
          <w:szCs w:val="24"/>
          <w:lang w:val="en-US"/>
        </w:rPr>
        <w:t>5</w:t>
      </w:r>
      <w:r w:rsidRPr="0032486C">
        <w:rPr>
          <w:rFonts w:ascii="Times New Roman" w:hAnsi="Times New Roman"/>
          <w:szCs w:val="24"/>
          <w:lang w:val="bg-BG"/>
        </w:rPr>
        <w:t xml:space="preserve"> г. са трансферирани средства в размер на </w:t>
      </w:r>
      <w:r>
        <w:rPr>
          <w:rFonts w:ascii="Times New Roman" w:hAnsi="Times New Roman"/>
          <w:szCs w:val="24"/>
          <w:lang w:val="en-US"/>
        </w:rPr>
        <w:t>88</w:t>
      </w:r>
      <w:r>
        <w:rPr>
          <w:rFonts w:ascii="Times New Roman" w:hAnsi="Times New Roman"/>
          <w:szCs w:val="24"/>
          <w:lang w:val="bg-BG"/>
        </w:rPr>
        <w:t>,</w:t>
      </w:r>
      <w:r>
        <w:rPr>
          <w:rFonts w:ascii="Times New Roman" w:hAnsi="Times New Roman"/>
          <w:szCs w:val="24"/>
          <w:lang w:val="en-US"/>
        </w:rPr>
        <w:t>68</w:t>
      </w:r>
      <w:r w:rsidRPr="0032486C">
        <w:rPr>
          <w:rFonts w:ascii="Times New Roman" w:hAnsi="Times New Roman"/>
          <w:szCs w:val="24"/>
          <w:lang w:val="bg-BG"/>
        </w:rPr>
        <w:t xml:space="preserve"> млн. лв., в това число:</w:t>
      </w:r>
    </w:p>
    <w:p w:rsidR="00FD1D41" w:rsidRPr="0032486C" w:rsidRDefault="00FD1D41" w:rsidP="00FD1D41">
      <w:pPr>
        <w:widowControl w:val="0"/>
        <w:numPr>
          <w:ilvl w:val="0"/>
          <w:numId w:val="2"/>
        </w:numPr>
        <w:tabs>
          <w:tab w:val="clear" w:pos="2160"/>
          <w:tab w:val="num" w:pos="1368"/>
        </w:tabs>
        <w:autoSpaceDE w:val="0"/>
        <w:autoSpaceDN w:val="0"/>
        <w:adjustRightInd w:val="0"/>
        <w:spacing w:after="0" w:line="240" w:lineRule="atLeast"/>
        <w:ind w:left="340" w:right="113" w:firstLine="743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0,06</w:t>
      </w:r>
      <w:r w:rsidRPr="0032486C">
        <w:rPr>
          <w:rFonts w:ascii="Times New Roman" w:hAnsi="Times New Roman"/>
          <w:szCs w:val="24"/>
          <w:lang w:val="bg-BG"/>
        </w:rPr>
        <w:t xml:space="preserve"> млн. лв. – парични постъпления от приватизация, отчетени по </w:t>
      </w:r>
      <w:r>
        <w:rPr>
          <w:rFonts w:ascii="Times New Roman" w:hAnsi="Times New Roman"/>
          <w:szCs w:val="24"/>
          <w:lang w:val="bg-BG"/>
        </w:rPr>
        <w:t>държавния</w:t>
      </w:r>
      <w:r w:rsidRPr="0032486C">
        <w:rPr>
          <w:rFonts w:ascii="Times New Roman" w:hAnsi="Times New Roman"/>
          <w:szCs w:val="24"/>
          <w:lang w:val="bg-BG"/>
        </w:rPr>
        <w:t xml:space="preserve"> бюджет за 201</w:t>
      </w:r>
      <w:r>
        <w:rPr>
          <w:rFonts w:ascii="Times New Roman" w:hAnsi="Times New Roman"/>
          <w:szCs w:val="24"/>
          <w:lang w:val="bg-BG"/>
        </w:rPr>
        <w:t>4</w:t>
      </w:r>
      <w:r w:rsidRPr="0032486C">
        <w:rPr>
          <w:rFonts w:ascii="Times New Roman" w:hAnsi="Times New Roman"/>
          <w:szCs w:val="24"/>
          <w:lang w:val="bg-BG"/>
        </w:rPr>
        <w:t xml:space="preserve"> г. (чл.</w:t>
      </w:r>
      <w:r>
        <w:rPr>
          <w:rFonts w:ascii="Times New Roman" w:hAnsi="Times New Roman"/>
          <w:szCs w:val="24"/>
          <w:lang w:val="bg-BG"/>
        </w:rPr>
        <w:t xml:space="preserve"> </w:t>
      </w:r>
      <w:r w:rsidRPr="0032486C">
        <w:rPr>
          <w:rFonts w:ascii="Times New Roman" w:hAnsi="Times New Roman"/>
          <w:szCs w:val="24"/>
          <w:lang w:val="bg-BG"/>
        </w:rPr>
        <w:t xml:space="preserve">11, ал. 1, т. 1 от </w:t>
      </w:r>
      <w:r>
        <w:rPr>
          <w:rFonts w:ascii="Times New Roman" w:hAnsi="Times New Roman"/>
          <w:szCs w:val="24"/>
          <w:lang w:val="bg-BG"/>
        </w:rPr>
        <w:t>З</w:t>
      </w:r>
      <w:r w:rsidRPr="0032486C">
        <w:rPr>
          <w:rFonts w:ascii="Times New Roman" w:hAnsi="Times New Roman"/>
          <w:szCs w:val="24"/>
          <w:lang w:val="bg-BG"/>
        </w:rPr>
        <w:t>акона за ДФГУДПС);</w:t>
      </w:r>
    </w:p>
    <w:p w:rsidR="00FD1D41" w:rsidRPr="0032486C" w:rsidRDefault="00FD1D41" w:rsidP="00FD1D41">
      <w:pPr>
        <w:widowControl w:val="0"/>
        <w:numPr>
          <w:ilvl w:val="0"/>
          <w:numId w:val="2"/>
        </w:numPr>
        <w:tabs>
          <w:tab w:val="clear" w:pos="2160"/>
          <w:tab w:val="num" w:pos="1368"/>
        </w:tabs>
        <w:autoSpaceDE w:val="0"/>
        <w:autoSpaceDN w:val="0"/>
        <w:adjustRightInd w:val="0"/>
        <w:spacing w:after="0" w:line="240" w:lineRule="atLeast"/>
        <w:ind w:left="340" w:right="113" w:firstLine="743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87,3</w:t>
      </w:r>
      <w:r w:rsidRPr="0032486C">
        <w:rPr>
          <w:rFonts w:ascii="Times New Roman" w:hAnsi="Times New Roman"/>
          <w:szCs w:val="24"/>
          <w:lang w:val="bg-BG"/>
        </w:rPr>
        <w:t xml:space="preserve"> млн. лв. - приходи от концесии, отчетени по </w:t>
      </w:r>
      <w:r>
        <w:rPr>
          <w:rFonts w:ascii="Times New Roman" w:hAnsi="Times New Roman"/>
          <w:szCs w:val="24"/>
          <w:lang w:val="bg-BG"/>
        </w:rPr>
        <w:t>държавния</w:t>
      </w:r>
      <w:r w:rsidRPr="0032486C">
        <w:rPr>
          <w:rFonts w:ascii="Times New Roman" w:hAnsi="Times New Roman"/>
          <w:szCs w:val="24"/>
          <w:lang w:val="bg-BG"/>
        </w:rPr>
        <w:t xml:space="preserve"> бюджет за 201</w:t>
      </w:r>
      <w:r>
        <w:rPr>
          <w:rFonts w:ascii="Times New Roman" w:hAnsi="Times New Roman"/>
          <w:szCs w:val="24"/>
          <w:lang w:val="bg-BG"/>
        </w:rPr>
        <w:t>4 </w:t>
      </w:r>
      <w:r w:rsidRPr="0032486C">
        <w:rPr>
          <w:rFonts w:ascii="Times New Roman" w:hAnsi="Times New Roman"/>
          <w:szCs w:val="24"/>
          <w:lang w:val="bg-BG"/>
        </w:rPr>
        <w:t>г. в съответствие с чл.</w:t>
      </w:r>
      <w:r>
        <w:rPr>
          <w:rFonts w:ascii="Times New Roman" w:hAnsi="Times New Roman"/>
          <w:szCs w:val="24"/>
          <w:lang w:val="bg-BG"/>
        </w:rPr>
        <w:t xml:space="preserve"> </w:t>
      </w:r>
      <w:r w:rsidRPr="0032486C">
        <w:rPr>
          <w:rFonts w:ascii="Times New Roman" w:hAnsi="Times New Roman"/>
          <w:szCs w:val="24"/>
          <w:lang w:val="bg-BG"/>
        </w:rPr>
        <w:t>11, ал.</w:t>
      </w:r>
      <w:r>
        <w:rPr>
          <w:rFonts w:ascii="Times New Roman" w:hAnsi="Times New Roman"/>
          <w:szCs w:val="24"/>
          <w:lang w:val="bg-BG"/>
        </w:rPr>
        <w:t xml:space="preserve"> </w:t>
      </w:r>
      <w:r w:rsidRPr="0032486C">
        <w:rPr>
          <w:rFonts w:ascii="Times New Roman" w:hAnsi="Times New Roman"/>
          <w:szCs w:val="24"/>
          <w:lang w:val="bg-BG"/>
        </w:rPr>
        <w:t>1, т. 3 от Закона за ДФГУДПС;</w:t>
      </w:r>
    </w:p>
    <w:p w:rsidR="00FD1D41" w:rsidRDefault="00FD1D41" w:rsidP="00FD1D41">
      <w:pPr>
        <w:widowControl w:val="0"/>
        <w:numPr>
          <w:ilvl w:val="0"/>
          <w:numId w:val="2"/>
        </w:numPr>
        <w:tabs>
          <w:tab w:val="clear" w:pos="2160"/>
          <w:tab w:val="num" w:pos="1368"/>
        </w:tabs>
        <w:autoSpaceDE w:val="0"/>
        <w:autoSpaceDN w:val="0"/>
        <w:adjustRightInd w:val="0"/>
        <w:spacing w:after="0" w:line="240" w:lineRule="atLeast"/>
        <w:ind w:left="340" w:right="113" w:firstLine="743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1,25</w:t>
      </w:r>
      <w:r w:rsidRPr="0032486C">
        <w:rPr>
          <w:rFonts w:ascii="Times New Roman" w:hAnsi="Times New Roman"/>
          <w:szCs w:val="24"/>
          <w:lang w:val="bg-BG"/>
        </w:rPr>
        <w:t xml:space="preserve"> млн. лв. - приходи от други източници, определени със закон или с акт на Министерския съвет - средства от глоби, имуществени санкции и неустойки, свързани с приватизационния процес по реда на чл. 8, ал. 8 (2) от Закона за приватизация и следприватизационен контрол</w:t>
      </w:r>
      <w:r>
        <w:rPr>
          <w:rFonts w:ascii="Times New Roman" w:hAnsi="Times New Roman"/>
          <w:szCs w:val="24"/>
          <w:lang w:val="bg-BG"/>
        </w:rPr>
        <w:t>;</w:t>
      </w:r>
    </w:p>
    <w:p w:rsidR="00FD1D41" w:rsidRPr="0032486C" w:rsidRDefault="00FD1D41" w:rsidP="00FD1D41">
      <w:pPr>
        <w:widowControl w:val="0"/>
        <w:numPr>
          <w:ilvl w:val="0"/>
          <w:numId w:val="2"/>
        </w:numPr>
        <w:tabs>
          <w:tab w:val="clear" w:pos="2160"/>
          <w:tab w:val="num" w:pos="1418"/>
        </w:tabs>
        <w:autoSpaceDE w:val="0"/>
        <w:autoSpaceDN w:val="0"/>
        <w:adjustRightInd w:val="0"/>
        <w:spacing w:after="0" w:line="240" w:lineRule="atLeast"/>
        <w:ind w:left="284" w:right="113" w:firstLine="850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0,07 млн. лв. – съгласно разпоредбата на </w:t>
      </w:r>
      <w:r w:rsidRPr="003E4AC9">
        <w:rPr>
          <w:rFonts w:ascii="Times New Roman" w:hAnsi="Times New Roman"/>
          <w:szCs w:val="24"/>
          <w:lang w:val="bg-BG"/>
        </w:rPr>
        <w:t>чл. 129, ал. 12 от К</w:t>
      </w:r>
      <w:r>
        <w:rPr>
          <w:rFonts w:ascii="Times New Roman" w:hAnsi="Times New Roman"/>
          <w:szCs w:val="24"/>
          <w:lang w:val="bg-BG"/>
        </w:rPr>
        <w:t>одекса за социално осигуряване</w:t>
      </w:r>
      <w:r w:rsidRPr="003E4AC9">
        <w:rPr>
          <w:rFonts w:ascii="Times New Roman" w:hAnsi="Times New Roman"/>
          <w:szCs w:val="24"/>
          <w:lang w:val="bg-BG"/>
        </w:rPr>
        <w:t xml:space="preserve"> и чл. 1, ал. 4 от Закона за </w:t>
      </w:r>
      <w:r>
        <w:rPr>
          <w:rFonts w:ascii="Times New Roman" w:hAnsi="Times New Roman"/>
          <w:szCs w:val="24"/>
          <w:lang w:val="bg-BG"/>
        </w:rPr>
        <w:t>ДФГУДПС.</w:t>
      </w:r>
    </w:p>
    <w:p w:rsidR="00FD1D41" w:rsidRPr="0032486C" w:rsidRDefault="00FD1D41" w:rsidP="00FD1D41">
      <w:pPr>
        <w:widowControl w:val="0"/>
        <w:tabs>
          <w:tab w:val="num" w:pos="741"/>
          <w:tab w:val="left" w:pos="1620"/>
        </w:tabs>
        <w:autoSpaceDE w:val="0"/>
        <w:autoSpaceDN w:val="0"/>
        <w:adjustRightInd w:val="0"/>
        <w:spacing w:after="0" w:line="240" w:lineRule="atLeast"/>
        <w:ind w:left="340" w:right="113" w:firstLine="743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>През 201</w:t>
      </w:r>
      <w:r>
        <w:rPr>
          <w:rFonts w:ascii="Times New Roman" w:hAnsi="Times New Roman"/>
          <w:szCs w:val="24"/>
          <w:lang w:val="bg-BG"/>
        </w:rPr>
        <w:t>5</w:t>
      </w:r>
      <w:r w:rsidRPr="0032486C">
        <w:rPr>
          <w:rFonts w:ascii="Times New Roman" w:hAnsi="Times New Roman"/>
          <w:szCs w:val="24"/>
          <w:lang w:val="bg-BG"/>
        </w:rPr>
        <w:t xml:space="preserve"> г. не са отчислени средства за сметка на излишък по </w:t>
      </w:r>
      <w:r>
        <w:rPr>
          <w:rFonts w:ascii="Times New Roman" w:hAnsi="Times New Roman"/>
          <w:szCs w:val="24"/>
          <w:lang w:val="bg-BG"/>
        </w:rPr>
        <w:t>държавния</w:t>
      </w:r>
      <w:r w:rsidRPr="0032486C">
        <w:rPr>
          <w:rFonts w:ascii="Times New Roman" w:hAnsi="Times New Roman"/>
          <w:szCs w:val="24"/>
          <w:lang w:val="bg-BG"/>
        </w:rPr>
        <w:t xml:space="preserve"> бюджет за 201</w:t>
      </w:r>
      <w:r>
        <w:rPr>
          <w:rFonts w:ascii="Times New Roman" w:hAnsi="Times New Roman"/>
          <w:szCs w:val="24"/>
          <w:lang w:val="bg-BG"/>
        </w:rPr>
        <w:t>4</w:t>
      </w:r>
      <w:r w:rsidRPr="0032486C">
        <w:rPr>
          <w:rFonts w:ascii="Times New Roman" w:hAnsi="Times New Roman"/>
          <w:szCs w:val="24"/>
          <w:lang w:val="bg-BG"/>
        </w:rPr>
        <w:t xml:space="preserve"> г., предвид отчетен дефицит.</w:t>
      </w:r>
    </w:p>
    <w:p w:rsidR="00FD1D41" w:rsidRPr="0032486C" w:rsidRDefault="00FD1D41" w:rsidP="00FD1D41">
      <w:pPr>
        <w:tabs>
          <w:tab w:val="left" w:pos="2340"/>
        </w:tabs>
        <w:ind w:left="342" w:right="113" w:firstLine="741"/>
        <w:rPr>
          <w:rFonts w:ascii="Times New Roman" w:hAnsi="Times New Roman"/>
          <w:b/>
          <w:smallCaps/>
          <w:sz w:val="10"/>
          <w:szCs w:val="10"/>
          <w:lang w:val="bg-BG"/>
        </w:rPr>
      </w:pPr>
    </w:p>
    <w:p w:rsidR="00FD1D41" w:rsidRPr="0032486C" w:rsidRDefault="00FD1D41" w:rsidP="00FD1D41">
      <w:pPr>
        <w:tabs>
          <w:tab w:val="left" w:pos="2340"/>
        </w:tabs>
        <w:ind w:left="342" w:right="113" w:firstLine="741"/>
        <w:rPr>
          <w:rFonts w:ascii="Times New Roman" w:hAnsi="Times New Roman"/>
          <w:b/>
          <w:caps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mallCaps/>
          <w:sz w:val="22"/>
          <w:szCs w:val="22"/>
          <w:lang w:val="bg-BG"/>
        </w:rPr>
        <w:t>ІІ. УПРАВЛЕНИЕ НА СРЕДСТВАТА</w:t>
      </w:r>
    </w:p>
    <w:p w:rsidR="00FD1D41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0" w:right="113" w:firstLine="743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color w:val="000000"/>
          <w:szCs w:val="24"/>
          <w:lang w:val="bg-BG" w:eastAsia="bg-BG"/>
        </w:rPr>
        <w:t>Акумулираните по сметка на фонда средства са инвестирани в депозитна сметка съгласно Общите условия за откриване на депозитни/инвестиционни сметки в БНБ. П</w:t>
      </w:r>
      <w:r w:rsidRPr="0032486C">
        <w:rPr>
          <w:rFonts w:ascii="Times New Roman" w:hAnsi="Times New Roman"/>
          <w:szCs w:val="24"/>
          <w:lang w:val="bg-BG" w:eastAsia="bg-BG"/>
        </w:rPr>
        <w:t>редвид нулевите нива на референтните котировки, с които БНБ олихвява депозитите съгласно действащите Общи условия</w:t>
      </w:r>
      <w:r>
        <w:rPr>
          <w:rFonts w:ascii="Times New Roman" w:hAnsi="Times New Roman"/>
          <w:szCs w:val="24"/>
          <w:lang w:val="bg-BG" w:eastAsia="bg-BG"/>
        </w:rPr>
        <w:t>,</w:t>
      </w:r>
      <w:r w:rsidRPr="0032486C">
        <w:rPr>
          <w:rFonts w:ascii="Times New Roman" w:hAnsi="Times New Roman"/>
          <w:szCs w:val="24"/>
          <w:lang w:val="bg-BG" w:eastAsia="bg-BG"/>
        </w:rPr>
        <w:t xml:space="preserve"> прилагани от БНБ при откриване на депозитни/инвестиционни сметки</w:t>
      </w:r>
      <w:r>
        <w:rPr>
          <w:rFonts w:ascii="Times New Roman" w:hAnsi="Times New Roman"/>
          <w:szCs w:val="24"/>
          <w:lang w:val="bg-BG" w:eastAsia="bg-BG"/>
        </w:rPr>
        <w:t>,</w:t>
      </w:r>
      <w:r w:rsidRPr="0032486C">
        <w:rPr>
          <w:rFonts w:ascii="Times New Roman" w:hAnsi="Times New Roman"/>
          <w:szCs w:val="24"/>
          <w:lang w:val="bg-BG" w:eastAsia="bg-BG"/>
        </w:rPr>
        <w:t xml:space="preserve"> не се начисляват лихви по депозитите на фонда. През 201</w:t>
      </w:r>
      <w:r>
        <w:rPr>
          <w:rFonts w:ascii="Times New Roman" w:hAnsi="Times New Roman"/>
          <w:szCs w:val="24"/>
          <w:lang w:val="bg-BG" w:eastAsia="bg-BG"/>
        </w:rPr>
        <w:t>5</w:t>
      </w:r>
      <w:r w:rsidRPr="0032486C">
        <w:rPr>
          <w:rFonts w:ascii="Times New Roman" w:hAnsi="Times New Roman"/>
          <w:szCs w:val="24"/>
          <w:lang w:val="bg-BG" w:eastAsia="bg-BG"/>
        </w:rPr>
        <w:t xml:space="preserve"> г. в съответствие с нормативните разпоредби на чл.</w:t>
      </w:r>
      <w:r>
        <w:rPr>
          <w:rFonts w:ascii="Times New Roman" w:hAnsi="Times New Roman"/>
          <w:szCs w:val="24"/>
          <w:lang w:val="bg-BG" w:eastAsia="bg-BG"/>
        </w:rPr>
        <w:t xml:space="preserve"> </w:t>
      </w:r>
      <w:r w:rsidRPr="0032486C">
        <w:rPr>
          <w:rFonts w:ascii="Times New Roman" w:hAnsi="Times New Roman"/>
          <w:szCs w:val="24"/>
          <w:lang w:val="bg-BG" w:eastAsia="bg-BG"/>
        </w:rPr>
        <w:t xml:space="preserve">11 от ЗДФГУДПС по сметката на фонда в БНБ бяха трансферирани средства в размер на </w:t>
      </w:r>
      <w:r>
        <w:rPr>
          <w:rFonts w:ascii="Times New Roman" w:hAnsi="Times New Roman"/>
          <w:szCs w:val="24"/>
          <w:lang w:val="bg-BG" w:eastAsia="bg-BG"/>
        </w:rPr>
        <w:t>88,68</w:t>
      </w:r>
      <w:r>
        <w:rPr>
          <w:rFonts w:ascii="Times New Roman" w:hAnsi="Times New Roman"/>
          <w:szCs w:val="24"/>
          <w:lang w:val="en-US" w:eastAsia="bg-BG"/>
        </w:rPr>
        <w:t xml:space="preserve"> </w:t>
      </w:r>
      <w:r w:rsidRPr="0032486C">
        <w:rPr>
          <w:rFonts w:ascii="Times New Roman" w:hAnsi="Times New Roman"/>
          <w:szCs w:val="24"/>
          <w:lang w:val="bg-BG" w:eastAsia="bg-BG"/>
        </w:rPr>
        <w:t>млн.</w:t>
      </w:r>
      <w:r>
        <w:rPr>
          <w:rFonts w:ascii="Times New Roman" w:hAnsi="Times New Roman"/>
          <w:szCs w:val="24"/>
          <w:lang w:val="en-US" w:eastAsia="bg-BG"/>
        </w:rPr>
        <w:t xml:space="preserve"> </w:t>
      </w:r>
      <w:r w:rsidRPr="0032486C">
        <w:rPr>
          <w:rFonts w:ascii="Times New Roman" w:hAnsi="Times New Roman"/>
          <w:szCs w:val="24"/>
          <w:lang w:val="bg-BG" w:eastAsia="bg-BG"/>
        </w:rPr>
        <w:t>лв., като в деня на падежната дата на депозита (2</w:t>
      </w:r>
      <w:r>
        <w:rPr>
          <w:rFonts w:ascii="Times New Roman" w:hAnsi="Times New Roman"/>
          <w:szCs w:val="24"/>
          <w:lang w:val="bg-BG" w:eastAsia="bg-BG"/>
        </w:rPr>
        <w:t>6</w:t>
      </w:r>
      <w:r w:rsidRPr="0032486C">
        <w:rPr>
          <w:rFonts w:ascii="Times New Roman" w:hAnsi="Times New Roman"/>
          <w:szCs w:val="24"/>
          <w:lang w:val="bg-BG" w:eastAsia="bg-BG"/>
        </w:rPr>
        <w:t>.05.201</w:t>
      </w:r>
      <w:r>
        <w:rPr>
          <w:rFonts w:ascii="Times New Roman" w:hAnsi="Times New Roman"/>
          <w:szCs w:val="24"/>
          <w:lang w:val="bg-BG" w:eastAsia="bg-BG"/>
        </w:rPr>
        <w:t>5</w:t>
      </w:r>
      <w:r w:rsidRPr="0032486C">
        <w:rPr>
          <w:rFonts w:ascii="Times New Roman" w:hAnsi="Times New Roman"/>
          <w:szCs w:val="24"/>
          <w:lang w:val="bg-BG" w:eastAsia="bg-BG"/>
        </w:rPr>
        <w:t xml:space="preserve"> г.) бе открит наново депозит със срок от 7 дни за общата сума от 2</w:t>
      </w:r>
      <w:r>
        <w:rPr>
          <w:rFonts w:ascii="Times New Roman" w:hAnsi="Times New Roman"/>
          <w:szCs w:val="24"/>
          <w:lang w:val="en-US" w:eastAsia="bg-BG"/>
        </w:rPr>
        <w:t xml:space="preserve"> </w:t>
      </w:r>
      <w:r>
        <w:rPr>
          <w:rFonts w:ascii="Times New Roman" w:hAnsi="Times New Roman"/>
          <w:szCs w:val="24"/>
          <w:lang w:val="bg-BG" w:eastAsia="bg-BG"/>
        </w:rPr>
        <w:t>534,0</w:t>
      </w:r>
      <w:r>
        <w:rPr>
          <w:rFonts w:ascii="Times New Roman" w:hAnsi="Times New Roman"/>
          <w:szCs w:val="24"/>
          <w:lang w:val="en-US" w:eastAsia="bg-BG"/>
        </w:rPr>
        <w:t xml:space="preserve"> </w:t>
      </w:r>
      <w:r w:rsidRPr="0032486C">
        <w:rPr>
          <w:rFonts w:ascii="Times New Roman" w:hAnsi="Times New Roman"/>
          <w:szCs w:val="24"/>
          <w:lang w:val="bg-BG" w:eastAsia="bg-BG"/>
        </w:rPr>
        <w:t>млн.</w:t>
      </w:r>
      <w:r>
        <w:rPr>
          <w:rFonts w:ascii="Times New Roman" w:hAnsi="Times New Roman"/>
          <w:szCs w:val="24"/>
          <w:lang w:val="en-US" w:eastAsia="bg-BG"/>
        </w:rPr>
        <w:t xml:space="preserve"> </w:t>
      </w:r>
      <w:r w:rsidRPr="0032486C">
        <w:rPr>
          <w:rFonts w:ascii="Times New Roman" w:hAnsi="Times New Roman"/>
          <w:szCs w:val="24"/>
          <w:lang w:val="bg-BG" w:eastAsia="bg-BG"/>
        </w:rPr>
        <w:t xml:space="preserve">лв. По този начин, средствата на фонда са обособени в съответствие с решението на УС, </w:t>
      </w:r>
      <w:r w:rsidRPr="0032486C">
        <w:rPr>
          <w:rFonts w:ascii="Times New Roman" w:hAnsi="Times New Roman"/>
          <w:szCs w:val="24"/>
          <w:lang w:val="bg-BG"/>
        </w:rPr>
        <w:t>независимо от нулевите лихвени нива.</w:t>
      </w:r>
      <w:r w:rsidRPr="0032486C">
        <w:rPr>
          <w:rFonts w:ascii="Times New Roman" w:hAnsi="Times New Roman"/>
          <w:szCs w:val="24"/>
          <w:lang w:val="bg-BG" w:eastAsia="bg-BG"/>
        </w:rPr>
        <w:t xml:space="preserve"> Предвид</w:t>
      </w:r>
      <w:r w:rsidRPr="0032486C">
        <w:rPr>
          <w:rFonts w:ascii="Times New Roman" w:hAnsi="Times New Roman"/>
          <w:szCs w:val="24"/>
          <w:lang w:val="bg-BG"/>
        </w:rPr>
        <w:t xml:space="preserve"> продължаваща нестабилност на световните финансови пазари, УС продължи подхода за консервативното инвестиране на средствата на фонда в депозитна сметка в БНБ.</w:t>
      </w:r>
    </w:p>
    <w:p w:rsidR="00FD1D41" w:rsidRPr="000B1B09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0" w:right="113" w:firstLine="743"/>
        <w:rPr>
          <w:rFonts w:ascii="Times New Roman" w:hAnsi="Times New Roman"/>
          <w:szCs w:val="24"/>
          <w:lang w:val="bg-BG"/>
        </w:rPr>
      </w:pPr>
      <w:r w:rsidRPr="000B1B09">
        <w:rPr>
          <w:rFonts w:ascii="Times New Roman" w:hAnsi="Times New Roman"/>
          <w:szCs w:val="24"/>
          <w:lang w:val="bg-BG"/>
        </w:rPr>
        <w:t xml:space="preserve">Във връзка с въвеждане на нова лихвена политика на БНБ, считано от 04.01.2016 г., допускаща възможността за начисляване на отрицателна лихва върху </w:t>
      </w:r>
      <w:r w:rsidRPr="000B1B09">
        <w:rPr>
          <w:rFonts w:ascii="Times New Roman" w:hAnsi="Times New Roman"/>
          <w:szCs w:val="24"/>
          <w:lang w:val="bg-BG"/>
        </w:rPr>
        <w:lastRenderedPageBreak/>
        <w:t xml:space="preserve">публични средства и с оглед запазването на средствата на фонда и минимизирането на плащанията на отрицателни лихви за сметка на централния бюджет, </w:t>
      </w:r>
      <w:r>
        <w:rPr>
          <w:rFonts w:ascii="Times New Roman" w:hAnsi="Times New Roman"/>
          <w:szCs w:val="24"/>
          <w:lang w:val="bg-BG"/>
        </w:rPr>
        <w:t xml:space="preserve">в края на 2015 г. </w:t>
      </w:r>
      <w:r w:rsidRPr="000B1B09">
        <w:rPr>
          <w:rFonts w:ascii="Times New Roman" w:hAnsi="Times New Roman"/>
          <w:szCs w:val="24"/>
          <w:lang w:val="bg-BG"/>
        </w:rPr>
        <w:t>управителният съвет реши:</w:t>
      </w:r>
    </w:p>
    <w:p w:rsidR="00FD1D41" w:rsidRPr="000B1B09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0" w:right="113" w:firstLine="743"/>
        <w:rPr>
          <w:rFonts w:ascii="Times New Roman" w:hAnsi="Times New Roman"/>
          <w:szCs w:val="24"/>
          <w:lang w:val="bg-BG"/>
        </w:rPr>
      </w:pPr>
      <w:r w:rsidRPr="000B1B09">
        <w:rPr>
          <w:rFonts w:ascii="Times New Roman" w:hAnsi="Times New Roman"/>
          <w:szCs w:val="24"/>
          <w:lang w:val="bg-BG"/>
        </w:rPr>
        <w:tab/>
        <w:t>1. да се закрие седмичния депозит на фонда с падеж 29.12.2015 г.</w:t>
      </w:r>
    </w:p>
    <w:p w:rsidR="00FD1D41" w:rsidRPr="000B1B09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0" w:right="113" w:firstLine="743"/>
        <w:rPr>
          <w:rFonts w:ascii="Times New Roman" w:hAnsi="Times New Roman"/>
          <w:szCs w:val="24"/>
          <w:lang w:val="bg-BG"/>
        </w:rPr>
      </w:pPr>
      <w:r w:rsidRPr="000B1B09">
        <w:rPr>
          <w:rFonts w:ascii="Times New Roman" w:hAnsi="Times New Roman"/>
          <w:szCs w:val="24"/>
          <w:lang w:val="bg-BG"/>
        </w:rPr>
        <w:tab/>
        <w:t xml:space="preserve">2. на същата дата упълномощава министъра на финансите да открие едногодишен депозит, който е с нулева лихва. </w:t>
      </w:r>
    </w:p>
    <w:p w:rsidR="00FD1D41" w:rsidRPr="0032486C" w:rsidRDefault="00FD1D41" w:rsidP="00FD1D41">
      <w:pPr>
        <w:widowControl w:val="0"/>
        <w:autoSpaceDE w:val="0"/>
        <w:autoSpaceDN w:val="0"/>
        <w:adjustRightInd w:val="0"/>
        <w:spacing w:after="0" w:line="240" w:lineRule="auto"/>
        <w:ind w:left="342" w:right="113" w:firstLine="741"/>
        <w:rPr>
          <w:rFonts w:ascii="Times New Roman" w:hAnsi="Times New Roman"/>
          <w:sz w:val="10"/>
          <w:szCs w:val="10"/>
          <w:lang w:val="bg-BG" w:eastAsia="bg-BG"/>
        </w:rPr>
      </w:pPr>
    </w:p>
    <w:p w:rsidR="00FD1D41" w:rsidRPr="0032486C" w:rsidRDefault="00FD1D41" w:rsidP="00FD1D41">
      <w:pPr>
        <w:spacing w:before="100" w:beforeAutospacing="1" w:line="240" w:lineRule="auto"/>
        <w:ind w:left="346" w:right="113" w:firstLine="737"/>
        <w:rPr>
          <w:rFonts w:ascii="Times New Roman" w:hAnsi="Times New Roman"/>
          <w:b/>
          <w:smallCaps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sz w:val="22"/>
          <w:szCs w:val="22"/>
          <w:lang w:val="bg-BG"/>
        </w:rPr>
        <w:t xml:space="preserve">ІІІ. </w:t>
      </w:r>
      <w:r w:rsidRPr="0032486C">
        <w:rPr>
          <w:rFonts w:ascii="Times New Roman" w:hAnsi="Times New Roman"/>
          <w:b/>
          <w:smallCaps/>
          <w:sz w:val="22"/>
          <w:szCs w:val="22"/>
          <w:lang w:val="bg-BG"/>
        </w:rPr>
        <w:t>ОТЧЕТНОСТ</w:t>
      </w:r>
    </w:p>
    <w:p w:rsidR="00FD1D41" w:rsidRPr="0032486C" w:rsidRDefault="00FD1D41" w:rsidP="00FD1D41">
      <w:pPr>
        <w:spacing w:after="0" w:line="240" w:lineRule="atLeast"/>
        <w:ind w:left="346" w:right="113" w:firstLine="737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>За отчитането на средствата на ДФГУДПС се прилагат правилата и изискванията на отчетността на централния бюджет.</w:t>
      </w:r>
    </w:p>
    <w:p w:rsidR="00FD1D41" w:rsidRPr="0032486C" w:rsidRDefault="00FD1D41" w:rsidP="00FD1D41">
      <w:pPr>
        <w:spacing w:after="0" w:line="240" w:lineRule="atLeast"/>
        <w:ind w:left="342" w:right="113" w:firstLine="741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>Отчетът на ДФГУДПС е част от отчета за касовото изпълнение на централния бюджет към 31.12.201</w:t>
      </w:r>
      <w:r>
        <w:rPr>
          <w:rFonts w:ascii="Times New Roman" w:hAnsi="Times New Roman"/>
          <w:szCs w:val="24"/>
          <w:lang w:val="bg-BG"/>
        </w:rPr>
        <w:t>5</w:t>
      </w:r>
      <w:r w:rsidRPr="0032486C">
        <w:rPr>
          <w:rFonts w:ascii="Times New Roman" w:hAnsi="Times New Roman"/>
          <w:szCs w:val="24"/>
          <w:lang w:val="bg-BG"/>
        </w:rPr>
        <w:t xml:space="preserve"> г., предоставен на Сметната палата в изпълнение на чл. 5</w:t>
      </w:r>
      <w:r>
        <w:rPr>
          <w:rFonts w:ascii="Times New Roman" w:hAnsi="Times New Roman"/>
          <w:szCs w:val="24"/>
          <w:lang w:val="bg-BG"/>
        </w:rPr>
        <w:t>4</w:t>
      </w:r>
      <w:r w:rsidRPr="0032486C">
        <w:rPr>
          <w:rFonts w:ascii="Times New Roman" w:hAnsi="Times New Roman"/>
          <w:szCs w:val="24"/>
          <w:lang w:val="bg-BG"/>
        </w:rPr>
        <w:t>, ал.</w:t>
      </w:r>
      <w:r>
        <w:rPr>
          <w:rFonts w:ascii="Times New Roman" w:hAnsi="Times New Roman"/>
          <w:szCs w:val="24"/>
          <w:lang w:val="en-US"/>
        </w:rPr>
        <w:t> </w:t>
      </w:r>
      <w:r w:rsidRPr="0032486C">
        <w:rPr>
          <w:rFonts w:ascii="Times New Roman" w:hAnsi="Times New Roman"/>
          <w:szCs w:val="24"/>
          <w:lang w:val="bg-BG"/>
        </w:rPr>
        <w:t>4 от Закона за Сметната палата за предварително проучване</w:t>
      </w:r>
      <w:r>
        <w:rPr>
          <w:rFonts w:ascii="Times New Roman" w:hAnsi="Times New Roman"/>
          <w:szCs w:val="24"/>
          <w:lang w:val="bg-BG"/>
        </w:rPr>
        <w:t>,</w:t>
      </w:r>
      <w:r w:rsidRPr="0032486C">
        <w:rPr>
          <w:rFonts w:ascii="Times New Roman" w:hAnsi="Times New Roman"/>
          <w:szCs w:val="24"/>
          <w:lang w:val="bg-BG"/>
        </w:rPr>
        <w:t xml:space="preserve"> оценка на риска </w:t>
      </w:r>
      <w:r>
        <w:rPr>
          <w:rFonts w:ascii="Times New Roman" w:hAnsi="Times New Roman"/>
          <w:szCs w:val="24"/>
          <w:lang w:val="bg-BG"/>
        </w:rPr>
        <w:t xml:space="preserve">и </w:t>
      </w:r>
      <w:r w:rsidRPr="0032486C">
        <w:rPr>
          <w:rFonts w:ascii="Times New Roman" w:hAnsi="Times New Roman"/>
          <w:szCs w:val="24"/>
          <w:lang w:val="bg-BG"/>
        </w:rPr>
        <w:t>текущ контрол.</w:t>
      </w:r>
    </w:p>
    <w:p w:rsidR="00FD1D41" w:rsidRPr="0032486C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2" w:right="113" w:firstLine="741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>Общият паричен ресурс към 31.12.201</w:t>
      </w:r>
      <w:r>
        <w:rPr>
          <w:rFonts w:ascii="Times New Roman" w:hAnsi="Times New Roman"/>
          <w:szCs w:val="24"/>
          <w:lang w:val="bg-BG"/>
        </w:rPr>
        <w:t>5</w:t>
      </w:r>
      <w:r w:rsidRPr="0032486C">
        <w:rPr>
          <w:rFonts w:ascii="Times New Roman" w:hAnsi="Times New Roman"/>
          <w:szCs w:val="24"/>
          <w:lang w:val="bg-BG"/>
        </w:rPr>
        <w:t xml:space="preserve"> г. по сметка на фонда в БНБ е в размер на 2</w:t>
      </w:r>
      <w:r>
        <w:rPr>
          <w:rFonts w:ascii="Times New Roman" w:hAnsi="Times New Roman"/>
          <w:szCs w:val="24"/>
          <w:lang w:val="bg-BG"/>
        </w:rPr>
        <w:t> 534,1</w:t>
      </w:r>
      <w:r w:rsidRPr="0032486C">
        <w:rPr>
          <w:rFonts w:ascii="Times New Roman" w:hAnsi="Times New Roman"/>
          <w:szCs w:val="24"/>
          <w:lang w:val="bg-BG"/>
        </w:rPr>
        <w:t xml:space="preserve"> млн. лв. В тази сума са включени:</w:t>
      </w:r>
    </w:p>
    <w:p w:rsidR="00FD1D41" w:rsidRPr="0032486C" w:rsidRDefault="00FD1D41" w:rsidP="00FD1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342" w:right="113" w:firstLine="741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>наличност на 01.</w:t>
      </w:r>
      <w:proofErr w:type="spellStart"/>
      <w:r w:rsidRPr="0032486C">
        <w:rPr>
          <w:rFonts w:ascii="Times New Roman" w:hAnsi="Times New Roman"/>
          <w:szCs w:val="24"/>
          <w:lang w:val="bg-BG"/>
        </w:rPr>
        <w:t>01</w:t>
      </w:r>
      <w:proofErr w:type="spellEnd"/>
      <w:r w:rsidRPr="0032486C">
        <w:rPr>
          <w:rFonts w:ascii="Times New Roman" w:hAnsi="Times New Roman"/>
          <w:szCs w:val="24"/>
          <w:lang w:val="bg-BG"/>
        </w:rPr>
        <w:t>.201</w:t>
      </w:r>
      <w:r>
        <w:rPr>
          <w:rFonts w:ascii="Times New Roman" w:hAnsi="Times New Roman"/>
          <w:szCs w:val="24"/>
          <w:lang w:val="bg-BG"/>
        </w:rPr>
        <w:t>5</w:t>
      </w:r>
      <w:r w:rsidRPr="0032486C">
        <w:rPr>
          <w:rFonts w:ascii="Times New Roman" w:hAnsi="Times New Roman"/>
          <w:szCs w:val="24"/>
          <w:lang w:val="bg-BG"/>
        </w:rPr>
        <w:t xml:space="preserve"> г. – 2</w:t>
      </w:r>
      <w:r>
        <w:rPr>
          <w:rFonts w:ascii="Times New Roman" w:hAnsi="Times New Roman"/>
          <w:szCs w:val="24"/>
          <w:lang w:val="bg-BG"/>
        </w:rPr>
        <w:t> 445,4</w:t>
      </w:r>
      <w:r w:rsidRPr="0032486C">
        <w:rPr>
          <w:rFonts w:ascii="Times New Roman" w:hAnsi="Times New Roman"/>
          <w:szCs w:val="24"/>
          <w:lang w:val="bg-BG"/>
        </w:rPr>
        <w:t xml:space="preserve"> млн. лв.;</w:t>
      </w:r>
    </w:p>
    <w:p w:rsidR="00FD1D41" w:rsidRPr="0032486C" w:rsidRDefault="00FD1D41" w:rsidP="00FD1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342" w:right="113" w:firstLine="741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 xml:space="preserve">трансфер от централния бюджет – </w:t>
      </w:r>
      <w:r>
        <w:rPr>
          <w:rFonts w:ascii="Times New Roman" w:hAnsi="Times New Roman"/>
          <w:szCs w:val="24"/>
          <w:lang w:val="bg-BG"/>
        </w:rPr>
        <w:t>88,68</w:t>
      </w:r>
      <w:r w:rsidRPr="0032486C">
        <w:rPr>
          <w:rFonts w:ascii="Times New Roman" w:hAnsi="Times New Roman"/>
          <w:szCs w:val="24"/>
          <w:lang w:val="bg-BG"/>
        </w:rPr>
        <w:t xml:space="preserve"> млн. лв.</w:t>
      </w:r>
    </w:p>
    <w:p w:rsidR="00FD1D41" w:rsidRPr="0032486C" w:rsidRDefault="00FD1D41" w:rsidP="00FD1D41">
      <w:pPr>
        <w:pStyle w:val="Header"/>
        <w:spacing w:after="0" w:line="240" w:lineRule="atLeast"/>
        <w:ind w:left="342" w:right="113" w:firstLine="741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>За сумата от 2</w:t>
      </w:r>
      <w:r>
        <w:rPr>
          <w:rFonts w:ascii="Times New Roman" w:hAnsi="Times New Roman"/>
          <w:szCs w:val="24"/>
          <w:lang w:val="bg-BG"/>
        </w:rPr>
        <w:t> 534,</w:t>
      </w:r>
      <w:r w:rsidRPr="0032486C">
        <w:rPr>
          <w:rFonts w:ascii="Times New Roman" w:hAnsi="Times New Roman"/>
          <w:szCs w:val="24"/>
          <w:lang w:val="bg-BG"/>
        </w:rPr>
        <w:t>0 млн. лв. е открита депозитна сметка в БНБ по решение на УС на фонда.</w:t>
      </w:r>
    </w:p>
    <w:p w:rsidR="00FD1D41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2" w:right="113" w:firstLine="741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>Отчетът за касовото изпълнение на фонда за периода 01.</w:t>
      </w:r>
      <w:proofErr w:type="spellStart"/>
      <w:r w:rsidRPr="0032486C">
        <w:rPr>
          <w:rFonts w:ascii="Times New Roman" w:hAnsi="Times New Roman"/>
          <w:szCs w:val="24"/>
          <w:lang w:val="bg-BG"/>
        </w:rPr>
        <w:t>01</w:t>
      </w:r>
      <w:proofErr w:type="spellEnd"/>
      <w:r w:rsidRPr="0032486C">
        <w:rPr>
          <w:rFonts w:ascii="Times New Roman" w:hAnsi="Times New Roman"/>
          <w:szCs w:val="24"/>
          <w:lang w:val="bg-BG"/>
        </w:rPr>
        <w:t>.201</w:t>
      </w:r>
      <w:r>
        <w:rPr>
          <w:rFonts w:ascii="Times New Roman" w:hAnsi="Times New Roman"/>
          <w:szCs w:val="24"/>
          <w:lang w:val="bg-BG"/>
        </w:rPr>
        <w:t>5</w:t>
      </w:r>
      <w:r w:rsidRPr="0032486C">
        <w:rPr>
          <w:rFonts w:ascii="Times New Roman" w:hAnsi="Times New Roman"/>
          <w:szCs w:val="24"/>
          <w:lang w:val="bg-BG"/>
        </w:rPr>
        <w:t xml:space="preserve"> г. – 31.12.201</w:t>
      </w:r>
      <w:r>
        <w:rPr>
          <w:rFonts w:ascii="Times New Roman" w:hAnsi="Times New Roman"/>
          <w:szCs w:val="24"/>
          <w:lang w:val="bg-BG"/>
        </w:rPr>
        <w:t>5</w:t>
      </w:r>
      <w:r w:rsidRPr="0032486C">
        <w:rPr>
          <w:rFonts w:ascii="Times New Roman" w:hAnsi="Times New Roman"/>
          <w:szCs w:val="24"/>
          <w:lang w:val="bg-BG"/>
        </w:rPr>
        <w:t> г. е представен в следната таблица:</w:t>
      </w:r>
    </w:p>
    <w:p w:rsidR="00FD1D41" w:rsidRPr="0032486C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2" w:right="113" w:firstLine="741"/>
        <w:rPr>
          <w:rFonts w:ascii="Times New Roman" w:hAnsi="Times New Roman"/>
          <w:szCs w:val="24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spacing w:after="0" w:line="240" w:lineRule="auto"/>
        <w:ind w:left="342" w:hanging="342"/>
        <w:rPr>
          <w:rFonts w:ascii="Times New Roman" w:hAnsi="Times New Roman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>
            <wp:extent cx="5972175" cy="3190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D41" w:rsidRPr="0032486C" w:rsidRDefault="00FD1D41" w:rsidP="00FD1D41">
      <w:pPr>
        <w:widowControl w:val="0"/>
        <w:autoSpaceDE w:val="0"/>
        <w:autoSpaceDN w:val="0"/>
        <w:adjustRightInd w:val="0"/>
        <w:spacing w:after="0" w:line="240" w:lineRule="auto"/>
        <w:ind w:left="342" w:firstLine="741"/>
        <w:rPr>
          <w:rFonts w:ascii="Times New Roman" w:hAnsi="Times New Roman"/>
          <w:sz w:val="12"/>
          <w:szCs w:val="12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spacing w:after="0" w:line="240" w:lineRule="auto"/>
        <w:ind w:left="342" w:firstLine="741"/>
        <w:rPr>
          <w:rFonts w:ascii="Times New Roman" w:hAnsi="Times New Roman"/>
          <w:sz w:val="12"/>
          <w:szCs w:val="12"/>
          <w:lang w:val="bg-BG"/>
        </w:rPr>
      </w:pPr>
    </w:p>
    <w:p w:rsidR="00FD1D41" w:rsidRPr="0032486C" w:rsidRDefault="00FD1D41" w:rsidP="00FD1D41">
      <w:pPr>
        <w:jc w:val="center"/>
        <w:rPr>
          <w:rFonts w:ascii="Times New Roman" w:hAnsi="Times New Roman"/>
          <w:i/>
          <w:smallCaps/>
          <w:szCs w:val="24"/>
          <w:lang w:val="bg-BG"/>
        </w:rPr>
      </w:pPr>
      <w:r w:rsidRPr="0032486C">
        <w:rPr>
          <w:rFonts w:ascii="Times New Roman" w:hAnsi="Times New Roman"/>
          <w:i/>
          <w:smallCaps/>
          <w:szCs w:val="24"/>
          <w:lang w:val="bg-BG"/>
        </w:rPr>
        <w:t>Част трета</w:t>
      </w:r>
    </w:p>
    <w:p w:rsidR="00FD1D41" w:rsidRPr="0032486C" w:rsidRDefault="00FD1D41" w:rsidP="00FD1D41">
      <w:pPr>
        <w:jc w:val="center"/>
        <w:rPr>
          <w:rFonts w:ascii="Times New Roman" w:hAnsi="Times New Roman"/>
          <w:b/>
          <w:color w:val="008000"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color w:val="008000"/>
          <w:sz w:val="22"/>
          <w:szCs w:val="22"/>
          <w:lang w:val="bg-BG"/>
        </w:rPr>
        <w:t xml:space="preserve">ПУБЛИЧНОСТ </w:t>
      </w:r>
    </w:p>
    <w:p w:rsidR="00FD1D41" w:rsidRPr="0032486C" w:rsidRDefault="00FD1D41" w:rsidP="00FD1D41">
      <w:pPr>
        <w:widowControl w:val="0"/>
        <w:autoSpaceDE w:val="0"/>
        <w:autoSpaceDN w:val="0"/>
        <w:adjustRightInd w:val="0"/>
        <w:spacing w:after="0"/>
        <w:ind w:left="340" w:firstLine="741"/>
        <w:rPr>
          <w:rFonts w:ascii="Times New Roman" w:hAnsi="Times New Roman"/>
          <w:sz w:val="10"/>
          <w:szCs w:val="10"/>
          <w:lang w:val="bg-BG"/>
        </w:rPr>
      </w:pPr>
    </w:p>
    <w:p w:rsidR="00FD1D41" w:rsidRPr="0032486C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0" w:firstLine="741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>Министерството на финансите ежемесечно публикува данни за изменението на касовите потоци по сметката на ДФГУДПС в БНБ на своята интернет страница*.</w:t>
      </w:r>
    </w:p>
    <w:p w:rsidR="00FD1D41" w:rsidRPr="0032486C" w:rsidRDefault="00FD1D41" w:rsidP="00FD1D41">
      <w:pPr>
        <w:spacing w:after="0" w:line="240" w:lineRule="atLeast"/>
        <w:ind w:left="340" w:right="57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lastRenderedPageBreak/>
        <w:t>Постъпленията във фонда за съответния период и наличностите на средствата на фонда към края на съответните отчетни години, са представени в следната таблица:</w:t>
      </w:r>
    </w:p>
    <w:p w:rsidR="00FD1D41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2" w:hanging="58"/>
        <w:rPr>
          <w:lang w:val="bg-BG"/>
        </w:rPr>
      </w:pPr>
      <w:r>
        <w:rPr>
          <w:noProof/>
          <w:lang w:val="bg-BG" w:eastAsia="bg-BG"/>
        </w:rPr>
        <w:drawing>
          <wp:inline distT="0" distB="0" distL="0" distR="0">
            <wp:extent cx="5895975" cy="3781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D41" w:rsidRDefault="00FD1D41" w:rsidP="00FD1D41">
      <w:pPr>
        <w:widowControl w:val="0"/>
        <w:autoSpaceDE w:val="0"/>
        <w:autoSpaceDN w:val="0"/>
        <w:adjustRightInd w:val="0"/>
        <w:spacing w:after="0" w:line="240" w:lineRule="atLeast"/>
        <w:ind w:left="342" w:hanging="58"/>
        <w:rPr>
          <w:lang w:val="bg-BG"/>
        </w:rPr>
      </w:pPr>
    </w:p>
    <w:p w:rsidR="00FD1D41" w:rsidRPr="0032486C" w:rsidRDefault="00FD1D41" w:rsidP="00FD1D41">
      <w:pPr>
        <w:ind w:firstLine="142"/>
        <w:jc w:val="center"/>
        <w:rPr>
          <w:lang w:val="bg-BG"/>
        </w:rPr>
      </w:pPr>
      <w:r>
        <w:rPr>
          <w:noProof/>
          <w:lang w:val="bg-BG" w:eastAsia="bg-BG"/>
        </w:rPr>
        <w:drawing>
          <wp:inline distT="0" distB="0" distL="0" distR="0">
            <wp:extent cx="5974080" cy="2526030"/>
            <wp:effectExtent l="0" t="0" r="26670" b="2667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1D41" w:rsidRPr="00AB5F69" w:rsidRDefault="00FD1D41" w:rsidP="00FD1D41">
      <w:pPr>
        <w:widowControl w:val="0"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2"/>
          <w:szCs w:val="22"/>
          <w:lang w:val="en-US"/>
        </w:rPr>
      </w:pPr>
      <w:r w:rsidRPr="0032486C">
        <w:rPr>
          <w:rFonts w:ascii="Times New Roman" w:hAnsi="Times New Roman"/>
          <w:szCs w:val="24"/>
          <w:lang w:val="bg-BG"/>
        </w:rPr>
        <w:t>*</w:t>
      </w:r>
      <w:proofErr w:type="spellStart"/>
      <w:r w:rsidRPr="00AB5F69">
        <w:rPr>
          <w:rFonts w:ascii="Times New Roman" w:hAnsi="Times New Roman"/>
          <w:sz w:val="22"/>
          <w:szCs w:val="22"/>
          <w:lang w:val="bg-BG"/>
        </w:rPr>
        <w:t>www</w:t>
      </w:r>
      <w:proofErr w:type="spellEnd"/>
      <w:r w:rsidRPr="00AB5F69">
        <w:rPr>
          <w:rFonts w:ascii="Times New Roman" w:hAnsi="Times New Roman"/>
          <w:sz w:val="22"/>
          <w:szCs w:val="22"/>
          <w:lang w:val="bg-BG"/>
        </w:rPr>
        <w:t>.</w:t>
      </w:r>
      <w:proofErr w:type="spellStart"/>
      <w:r w:rsidRPr="00AB5F69">
        <w:rPr>
          <w:rFonts w:ascii="Times New Roman" w:hAnsi="Times New Roman"/>
          <w:sz w:val="22"/>
          <w:szCs w:val="22"/>
          <w:lang w:val="bg-BG"/>
        </w:rPr>
        <w:t>minfin</w:t>
      </w:r>
      <w:proofErr w:type="spellEnd"/>
      <w:r w:rsidRPr="00AB5F69">
        <w:rPr>
          <w:rFonts w:ascii="Times New Roman" w:hAnsi="Times New Roman"/>
          <w:sz w:val="22"/>
          <w:szCs w:val="22"/>
          <w:lang w:val="bg-BG"/>
        </w:rPr>
        <w:t>.</w:t>
      </w:r>
      <w:proofErr w:type="spellStart"/>
      <w:r w:rsidRPr="00AB5F69">
        <w:rPr>
          <w:rFonts w:ascii="Times New Roman" w:hAnsi="Times New Roman"/>
          <w:sz w:val="22"/>
          <w:szCs w:val="22"/>
          <w:lang w:val="bg-BG"/>
        </w:rPr>
        <w:t>bg</w:t>
      </w:r>
      <w:proofErr w:type="spellEnd"/>
      <w:r w:rsidRPr="00AB5F69">
        <w:rPr>
          <w:rFonts w:ascii="Times New Roman" w:hAnsi="Times New Roman"/>
          <w:sz w:val="22"/>
          <w:szCs w:val="22"/>
          <w:lang w:val="bg-BG"/>
        </w:rPr>
        <w:t xml:space="preserve">, банер ДФГУДПС, Статистически данни, Отчетни данни за Сребърния фонд. </w:t>
      </w:r>
    </w:p>
    <w:p w:rsidR="00FD1D41" w:rsidRDefault="00FD1D41" w:rsidP="00FD1D41">
      <w:pPr>
        <w:ind w:firstLine="456"/>
        <w:jc w:val="center"/>
        <w:rPr>
          <w:rFonts w:ascii="Times New Roman" w:hAnsi="Times New Roman"/>
          <w:i/>
          <w:smallCaps/>
          <w:szCs w:val="24"/>
          <w:lang w:val="bg-BG"/>
        </w:rPr>
      </w:pPr>
    </w:p>
    <w:p w:rsidR="00FD1D41" w:rsidRPr="0032486C" w:rsidRDefault="00FD1D41" w:rsidP="00FD1D41">
      <w:pPr>
        <w:ind w:firstLine="456"/>
        <w:jc w:val="center"/>
        <w:rPr>
          <w:rFonts w:ascii="Times New Roman" w:hAnsi="Times New Roman"/>
          <w:i/>
          <w:smallCaps/>
          <w:szCs w:val="24"/>
          <w:lang w:val="bg-BG"/>
        </w:rPr>
      </w:pPr>
      <w:r w:rsidRPr="0032486C">
        <w:rPr>
          <w:rFonts w:ascii="Times New Roman" w:hAnsi="Times New Roman"/>
          <w:i/>
          <w:smallCaps/>
          <w:szCs w:val="24"/>
          <w:lang w:val="bg-BG"/>
        </w:rPr>
        <w:t>Част четвърта</w:t>
      </w:r>
    </w:p>
    <w:p w:rsidR="00FD1D41" w:rsidRPr="0032486C" w:rsidRDefault="00FD1D41" w:rsidP="00FD1D41">
      <w:pPr>
        <w:jc w:val="center"/>
        <w:rPr>
          <w:rFonts w:ascii="Times New Roman" w:hAnsi="Times New Roman"/>
          <w:b/>
          <w:color w:val="008000"/>
          <w:sz w:val="22"/>
          <w:szCs w:val="22"/>
          <w:lang w:val="bg-BG"/>
        </w:rPr>
      </w:pPr>
      <w:r w:rsidRPr="0032486C">
        <w:rPr>
          <w:rFonts w:ascii="Times New Roman" w:hAnsi="Times New Roman"/>
          <w:b/>
          <w:color w:val="008000"/>
          <w:sz w:val="22"/>
          <w:szCs w:val="22"/>
          <w:lang w:val="bg-BG"/>
        </w:rPr>
        <w:t>ВЪНШЕН ОДИТ</w:t>
      </w:r>
    </w:p>
    <w:p w:rsidR="00FD1D41" w:rsidRPr="0032486C" w:rsidRDefault="00FD1D41" w:rsidP="00FD1D41">
      <w:pPr>
        <w:spacing w:after="0"/>
        <w:ind w:left="340" w:firstLine="741"/>
        <w:rPr>
          <w:rFonts w:ascii="Times New Roman" w:hAnsi="Times New Roman"/>
          <w:sz w:val="10"/>
          <w:szCs w:val="10"/>
          <w:lang w:val="bg-BG"/>
        </w:rPr>
      </w:pPr>
    </w:p>
    <w:p w:rsidR="00FD1D41" w:rsidRDefault="00FD1D41" w:rsidP="00FD1D41">
      <w:pPr>
        <w:spacing w:after="0" w:line="240" w:lineRule="atLeast"/>
        <w:ind w:left="340" w:firstLine="74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През 2015 г. н</w:t>
      </w:r>
      <w:r w:rsidRPr="0032486C">
        <w:rPr>
          <w:rFonts w:ascii="Times New Roman" w:hAnsi="Times New Roman"/>
          <w:szCs w:val="24"/>
          <w:lang w:val="bg-BG"/>
        </w:rPr>
        <w:t>а основание чл. 3</w:t>
      </w:r>
      <w:r>
        <w:rPr>
          <w:rFonts w:ascii="Times New Roman" w:hAnsi="Times New Roman"/>
          <w:szCs w:val="24"/>
          <w:lang w:val="bg-BG"/>
        </w:rPr>
        <w:t>8</w:t>
      </w:r>
      <w:r w:rsidRPr="0032486C">
        <w:rPr>
          <w:rFonts w:ascii="Times New Roman" w:hAnsi="Times New Roman"/>
          <w:szCs w:val="24"/>
          <w:lang w:val="bg-BG"/>
        </w:rPr>
        <w:t xml:space="preserve">, ал. 1 </w:t>
      </w:r>
      <w:r>
        <w:rPr>
          <w:rFonts w:ascii="Times New Roman" w:hAnsi="Times New Roman"/>
          <w:szCs w:val="24"/>
          <w:lang w:val="bg-BG"/>
        </w:rPr>
        <w:t>от Закона за Сметната палата са извършени два одита от Сметната палата.</w:t>
      </w:r>
    </w:p>
    <w:p w:rsidR="00FD1D41" w:rsidRPr="0032486C" w:rsidRDefault="00FD1D41" w:rsidP="00FD1D41">
      <w:pPr>
        <w:numPr>
          <w:ilvl w:val="0"/>
          <w:numId w:val="3"/>
        </w:numPr>
        <w:spacing w:after="0" w:line="240" w:lineRule="atLeast"/>
        <w:ind w:left="426" w:firstLine="708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lastRenderedPageBreak/>
        <w:t xml:space="preserve">Със </w:t>
      </w:r>
      <w:r w:rsidRPr="0032486C">
        <w:rPr>
          <w:rFonts w:ascii="Times New Roman" w:hAnsi="Times New Roman"/>
          <w:szCs w:val="24"/>
          <w:lang w:val="bg-BG"/>
        </w:rPr>
        <w:t>заповед № ОД-</w:t>
      </w:r>
      <w:r>
        <w:rPr>
          <w:rFonts w:ascii="Times New Roman" w:hAnsi="Times New Roman"/>
          <w:szCs w:val="24"/>
          <w:lang w:val="bg-BG"/>
        </w:rPr>
        <w:t>06-</w:t>
      </w:r>
      <w:r w:rsidRPr="0032486C">
        <w:rPr>
          <w:rFonts w:ascii="Times New Roman" w:hAnsi="Times New Roman"/>
          <w:szCs w:val="24"/>
          <w:lang w:val="bg-BG"/>
        </w:rPr>
        <w:t>0</w:t>
      </w:r>
      <w:r>
        <w:rPr>
          <w:rFonts w:ascii="Times New Roman" w:hAnsi="Times New Roman"/>
          <w:szCs w:val="24"/>
          <w:lang w:val="bg-BG"/>
        </w:rPr>
        <w:t>2-009</w:t>
      </w:r>
      <w:r w:rsidRPr="0032486C">
        <w:rPr>
          <w:rFonts w:ascii="Times New Roman" w:hAnsi="Times New Roman"/>
          <w:szCs w:val="24"/>
          <w:lang w:val="bg-BG"/>
        </w:rPr>
        <w:t>/</w:t>
      </w:r>
      <w:r>
        <w:rPr>
          <w:rFonts w:ascii="Times New Roman" w:hAnsi="Times New Roman"/>
          <w:szCs w:val="24"/>
          <w:lang w:val="bg-BG"/>
        </w:rPr>
        <w:t>02</w:t>
      </w:r>
      <w:r w:rsidRPr="0032486C">
        <w:rPr>
          <w:rFonts w:ascii="Times New Roman" w:hAnsi="Times New Roman"/>
          <w:szCs w:val="24"/>
          <w:lang w:val="bg-BG"/>
        </w:rPr>
        <w:t>.0</w:t>
      </w:r>
      <w:r>
        <w:rPr>
          <w:rFonts w:ascii="Times New Roman" w:hAnsi="Times New Roman"/>
          <w:szCs w:val="24"/>
          <w:lang w:val="bg-BG"/>
        </w:rPr>
        <w:t>7</w:t>
      </w:r>
      <w:r w:rsidRPr="0032486C">
        <w:rPr>
          <w:rFonts w:ascii="Times New Roman" w:hAnsi="Times New Roman"/>
          <w:szCs w:val="24"/>
          <w:lang w:val="bg-BG"/>
        </w:rPr>
        <w:t>.201</w:t>
      </w:r>
      <w:r>
        <w:rPr>
          <w:rFonts w:ascii="Times New Roman" w:hAnsi="Times New Roman"/>
          <w:szCs w:val="24"/>
          <w:lang w:val="bg-BG"/>
        </w:rPr>
        <w:t>5</w:t>
      </w:r>
      <w:r w:rsidRPr="0032486C">
        <w:rPr>
          <w:rFonts w:ascii="Times New Roman" w:hAnsi="Times New Roman"/>
          <w:szCs w:val="24"/>
          <w:lang w:val="bg-BG"/>
        </w:rPr>
        <w:t xml:space="preserve"> г. на заместник-председателя на Сметната палата бе извършен одит на отчета за изпълнението на централния бюджет (отчетът на ДФГУДПС е част от отчета за касовото изпълнение на централния бюджет) и на отчета за изпълнението на държавния бюджет на </w:t>
      </w:r>
      <w:r>
        <w:rPr>
          <w:rFonts w:ascii="Times New Roman" w:hAnsi="Times New Roman"/>
          <w:szCs w:val="24"/>
          <w:lang w:val="bg-BG"/>
        </w:rPr>
        <w:t>Р</w:t>
      </w:r>
      <w:r w:rsidRPr="0032486C">
        <w:rPr>
          <w:rFonts w:ascii="Times New Roman" w:hAnsi="Times New Roman"/>
          <w:szCs w:val="24"/>
          <w:lang w:val="bg-BG"/>
        </w:rPr>
        <w:t>епублика България за 201</w:t>
      </w:r>
      <w:r>
        <w:rPr>
          <w:rFonts w:ascii="Times New Roman" w:hAnsi="Times New Roman"/>
          <w:szCs w:val="24"/>
          <w:lang w:val="bg-BG"/>
        </w:rPr>
        <w:t>4</w:t>
      </w:r>
      <w:r w:rsidRPr="0032486C">
        <w:rPr>
          <w:rFonts w:ascii="Times New Roman" w:hAnsi="Times New Roman"/>
          <w:szCs w:val="24"/>
          <w:lang w:val="bg-BG"/>
        </w:rPr>
        <w:t xml:space="preserve"> г.</w:t>
      </w:r>
      <w:r w:rsidRPr="0032486C" w:rsidDel="00B30373">
        <w:rPr>
          <w:rFonts w:ascii="Times New Roman" w:hAnsi="Times New Roman"/>
          <w:szCs w:val="24"/>
          <w:lang w:val="bg-BG"/>
        </w:rPr>
        <w:t xml:space="preserve"> </w:t>
      </w:r>
    </w:p>
    <w:p w:rsidR="00FD1D41" w:rsidRDefault="00FD1D41" w:rsidP="00FD1D41">
      <w:pPr>
        <w:spacing w:after="0" w:line="240" w:lineRule="atLeast"/>
        <w:ind w:left="340" w:firstLine="684"/>
        <w:rPr>
          <w:rFonts w:ascii="Times New Roman" w:hAnsi="Times New Roman"/>
          <w:szCs w:val="24"/>
          <w:lang w:val="bg-BG"/>
        </w:rPr>
      </w:pPr>
      <w:r w:rsidRPr="0032486C">
        <w:rPr>
          <w:rFonts w:ascii="Times New Roman" w:hAnsi="Times New Roman"/>
          <w:szCs w:val="24"/>
          <w:lang w:val="bg-BG"/>
        </w:rPr>
        <w:t xml:space="preserve">В </w:t>
      </w:r>
      <w:proofErr w:type="spellStart"/>
      <w:r w:rsidRPr="0032486C">
        <w:rPr>
          <w:rFonts w:ascii="Times New Roman" w:hAnsi="Times New Roman"/>
          <w:szCs w:val="24"/>
          <w:lang w:val="bg-BG"/>
        </w:rPr>
        <w:t>одитен</w:t>
      </w:r>
      <w:proofErr w:type="spellEnd"/>
      <w:r w:rsidRPr="0032486C">
        <w:rPr>
          <w:rFonts w:ascii="Times New Roman" w:hAnsi="Times New Roman"/>
          <w:szCs w:val="24"/>
          <w:lang w:val="bg-BG"/>
        </w:rPr>
        <w:t xml:space="preserve"> доклад № </w:t>
      </w:r>
      <w:r w:rsidRPr="00C64656">
        <w:rPr>
          <w:rFonts w:ascii="Times New Roman" w:hAnsi="Times New Roman"/>
          <w:szCs w:val="24"/>
          <w:lang w:val="bg-BG"/>
        </w:rPr>
        <w:t>0600200915</w:t>
      </w:r>
      <w:r w:rsidRPr="0032486C">
        <w:rPr>
          <w:rFonts w:ascii="Times New Roman" w:hAnsi="Times New Roman"/>
          <w:szCs w:val="24"/>
          <w:lang w:val="bg-BG"/>
        </w:rPr>
        <w:t xml:space="preserve">, приет с Решение № </w:t>
      </w:r>
      <w:r>
        <w:rPr>
          <w:rFonts w:ascii="Times New Roman" w:hAnsi="Times New Roman"/>
          <w:szCs w:val="24"/>
          <w:lang w:val="bg-BG"/>
        </w:rPr>
        <w:t>151</w:t>
      </w:r>
      <w:r w:rsidRPr="0032486C">
        <w:rPr>
          <w:rFonts w:ascii="Times New Roman" w:hAnsi="Times New Roman"/>
          <w:szCs w:val="24"/>
          <w:lang w:val="bg-BG"/>
        </w:rPr>
        <w:t xml:space="preserve"> от </w:t>
      </w:r>
      <w:r>
        <w:rPr>
          <w:rFonts w:ascii="Times New Roman" w:hAnsi="Times New Roman"/>
          <w:szCs w:val="24"/>
          <w:lang w:val="bg-BG"/>
        </w:rPr>
        <w:t>08</w:t>
      </w:r>
      <w:r w:rsidRPr="0032486C">
        <w:rPr>
          <w:rFonts w:ascii="Times New Roman" w:hAnsi="Times New Roman"/>
          <w:szCs w:val="24"/>
          <w:lang w:val="bg-BG"/>
        </w:rPr>
        <w:t>.</w:t>
      </w:r>
      <w:r>
        <w:rPr>
          <w:rFonts w:ascii="Times New Roman" w:hAnsi="Times New Roman"/>
          <w:szCs w:val="24"/>
          <w:lang w:val="bg-BG"/>
        </w:rPr>
        <w:t>10</w:t>
      </w:r>
      <w:r w:rsidRPr="0032486C">
        <w:rPr>
          <w:rFonts w:ascii="Times New Roman" w:hAnsi="Times New Roman"/>
          <w:szCs w:val="24"/>
          <w:lang w:val="bg-BG"/>
        </w:rPr>
        <w:t>.201</w:t>
      </w:r>
      <w:r>
        <w:rPr>
          <w:rFonts w:ascii="Times New Roman" w:hAnsi="Times New Roman"/>
          <w:szCs w:val="24"/>
          <w:lang w:val="bg-BG"/>
        </w:rPr>
        <w:t>5</w:t>
      </w:r>
      <w:r w:rsidRPr="0032486C">
        <w:rPr>
          <w:rFonts w:ascii="Times New Roman" w:hAnsi="Times New Roman"/>
          <w:szCs w:val="24"/>
          <w:lang w:val="bg-BG"/>
        </w:rPr>
        <w:t xml:space="preserve"> г. на Сметната палата, не са налице основания за даване на препоръки към </w:t>
      </w:r>
      <w:r>
        <w:rPr>
          <w:rFonts w:ascii="Times New Roman" w:hAnsi="Times New Roman"/>
          <w:szCs w:val="24"/>
          <w:lang w:val="bg-BG"/>
        </w:rPr>
        <w:t>ръководството на Министерството на финансите</w:t>
      </w:r>
      <w:r w:rsidRPr="0032486C">
        <w:rPr>
          <w:rFonts w:ascii="Times New Roman" w:hAnsi="Times New Roman"/>
          <w:szCs w:val="24"/>
          <w:lang w:val="bg-BG"/>
        </w:rPr>
        <w:t xml:space="preserve"> по отношение на </w:t>
      </w:r>
      <w:r>
        <w:rPr>
          <w:rFonts w:ascii="Times New Roman" w:hAnsi="Times New Roman"/>
          <w:szCs w:val="24"/>
          <w:lang w:val="bg-BG"/>
        </w:rPr>
        <w:t xml:space="preserve">касовия </w:t>
      </w:r>
      <w:r w:rsidRPr="0032486C">
        <w:rPr>
          <w:rFonts w:ascii="Times New Roman" w:hAnsi="Times New Roman"/>
          <w:szCs w:val="24"/>
          <w:lang w:val="bg-BG"/>
        </w:rPr>
        <w:t>отчет на ДФГУДПС.</w:t>
      </w:r>
    </w:p>
    <w:p w:rsidR="00FD1D41" w:rsidRPr="00561903" w:rsidRDefault="00FD1D41" w:rsidP="00FD1D41">
      <w:pPr>
        <w:numPr>
          <w:ilvl w:val="0"/>
          <w:numId w:val="3"/>
        </w:numPr>
        <w:spacing w:after="0" w:line="240" w:lineRule="atLeast"/>
        <w:ind w:left="426" w:firstLine="708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Със заповед № ОР4-01-007/03.10.2014 г. на член на Сметната палата и ръководител на Отделение </w:t>
      </w:r>
      <w:r>
        <w:rPr>
          <w:rFonts w:ascii="Times New Roman" w:hAnsi="Times New Roman"/>
          <w:szCs w:val="24"/>
          <w:lang w:val="en-US"/>
        </w:rPr>
        <w:t>IV</w:t>
      </w:r>
      <w:r>
        <w:rPr>
          <w:rFonts w:ascii="Times New Roman" w:hAnsi="Times New Roman"/>
          <w:szCs w:val="24"/>
          <w:lang w:val="bg-BG"/>
        </w:rPr>
        <w:t xml:space="preserve"> бе извършен одит на Държавен фонд за гарантиране устойчивост на държавната пенсионна система за периода 01.</w:t>
      </w:r>
      <w:proofErr w:type="spellStart"/>
      <w:r>
        <w:rPr>
          <w:rFonts w:ascii="Times New Roman" w:hAnsi="Times New Roman"/>
          <w:szCs w:val="24"/>
          <w:lang w:val="bg-BG"/>
        </w:rPr>
        <w:t>01</w:t>
      </w:r>
      <w:proofErr w:type="spellEnd"/>
      <w:r>
        <w:rPr>
          <w:rFonts w:ascii="Times New Roman" w:hAnsi="Times New Roman"/>
          <w:szCs w:val="24"/>
          <w:lang w:val="bg-BG"/>
        </w:rPr>
        <w:t>.2011 г. до 31.12.2013 г.</w:t>
      </w:r>
      <w:r w:rsidRPr="004D5EB9">
        <w:rPr>
          <w:rFonts w:ascii="Times New Roman" w:hAnsi="Times New Roman"/>
          <w:bCs/>
          <w:szCs w:val="24"/>
          <w:lang w:val="bg-BG" w:eastAsia="bg-BG"/>
        </w:rPr>
        <w:t xml:space="preserve"> </w:t>
      </w:r>
      <w:r w:rsidRPr="004D5EB9">
        <w:rPr>
          <w:rFonts w:ascii="Times New Roman" w:hAnsi="Times New Roman"/>
          <w:bCs/>
          <w:szCs w:val="24"/>
          <w:lang w:val="bg-BG"/>
        </w:rPr>
        <w:t xml:space="preserve">и </w:t>
      </w:r>
      <w:r>
        <w:rPr>
          <w:rFonts w:ascii="Times New Roman" w:hAnsi="Times New Roman"/>
          <w:bCs/>
          <w:szCs w:val="24"/>
          <w:lang w:val="bg-BG"/>
        </w:rPr>
        <w:t xml:space="preserve">са </w:t>
      </w:r>
      <w:r w:rsidRPr="004D5EB9">
        <w:rPr>
          <w:rFonts w:ascii="Times New Roman" w:hAnsi="Times New Roman"/>
          <w:szCs w:val="24"/>
          <w:lang w:val="bg-BG"/>
        </w:rPr>
        <w:t xml:space="preserve">дадените препоръки на Управителния съвет на ДФГУДПС, </w:t>
      </w:r>
      <w:r>
        <w:rPr>
          <w:rFonts w:ascii="Times New Roman" w:hAnsi="Times New Roman"/>
          <w:szCs w:val="24"/>
          <w:lang w:val="bg-BG"/>
        </w:rPr>
        <w:t>за които в посочения срок следва да се предприемат необходимите действия за изпълнението им.</w:t>
      </w:r>
      <w:r w:rsidRPr="004D5EB9" w:rsidDel="00114BD9">
        <w:rPr>
          <w:rFonts w:ascii="Times New Roman" w:hAnsi="Times New Roman"/>
          <w:szCs w:val="24"/>
          <w:lang w:val="bg-BG"/>
        </w:rPr>
        <w:t xml:space="preserve"> </w:t>
      </w:r>
    </w:p>
    <w:p w:rsidR="00FD1D41" w:rsidRPr="00FD1D41" w:rsidRDefault="00FD1D41" w:rsidP="00FD1D41">
      <w:pPr>
        <w:jc w:val="center"/>
        <w:rPr>
          <w:lang w:val="en-US"/>
        </w:rPr>
      </w:pPr>
    </w:p>
    <w:sectPr w:rsidR="00FD1D41" w:rsidRPr="00FD1D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46D06"/>
    <w:multiLevelType w:val="hybridMultilevel"/>
    <w:tmpl w:val="CE12FFF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D0801"/>
    <w:multiLevelType w:val="hybridMultilevel"/>
    <w:tmpl w:val="1C90171A"/>
    <w:lvl w:ilvl="0" w:tplc="04020001">
      <w:start w:val="1"/>
      <w:numFmt w:val="bullet"/>
      <w:lvlText w:val=""/>
      <w:lvlJc w:val="left"/>
      <w:pPr>
        <w:ind w:left="180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1" w:hanging="360"/>
      </w:pPr>
      <w:rPr>
        <w:rFonts w:ascii="Wingdings" w:hAnsi="Wingdings" w:hint="default"/>
      </w:rPr>
    </w:lvl>
  </w:abstractNum>
  <w:abstractNum w:abstractNumId="2">
    <w:nsid w:val="658865D2"/>
    <w:multiLevelType w:val="hybridMultilevel"/>
    <w:tmpl w:val="ED822704"/>
    <w:lvl w:ilvl="0" w:tplc="040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D41"/>
    <w:rsid w:val="00383D08"/>
    <w:rsid w:val="006A7BB3"/>
    <w:rsid w:val="007F01EA"/>
    <w:rsid w:val="009B2A14"/>
    <w:rsid w:val="00FD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D41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FD1D41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1D41"/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paragraph" w:styleId="Header">
    <w:name w:val="header"/>
    <w:basedOn w:val="Normal"/>
    <w:link w:val="HeaderChar"/>
    <w:rsid w:val="00FD1D4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D1D41"/>
    <w:rPr>
      <w:rFonts w:ascii="Arial" w:eastAsia="Times New Roman" w:hAnsi="Arial" w:cs="Times New Roman"/>
      <w:sz w:val="24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D41"/>
    <w:rPr>
      <w:rFonts w:ascii="Tahoma" w:eastAsia="Times New Roman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D41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FD1D41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1D41"/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paragraph" w:styleId="Header">
    <w:name w:val="header"/>
    <w:basedOn w:val="Normal"/>
    <w:link w:val="HeaderChar"/>
    <w:rsid w:val="00FD1D4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D1D41"/>
    <w:rPr>
      <w:rFonts w:ascii="Arial" w:eastAsia="Times New Roman" w:hAnsi="Arial" w:cs="Times New Roman"/>
      <w:sz w:val="24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D41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DOC%202015%20OUTER\&#1057;&#1056;&#1045;&#1041;&#1066;&#1056;&#1045;&#1053;%20&#1060;&#1054;&#1053;&#1044;-2015\&#1053;&#1072;&#1083;&#1080;&#1095;&#1085;&#1086;&#1089;&#1090;&#1080;%20&#1057;&#1088;&#1077;&#1073;&#1098;&#1088;&#1077;&#1085;%20&#1092;&#1086;&#1085;&#1076;%20-%202007-2015.xls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bg-BG"/>
              <a:t>Паричен ресурс на ДФГУДПС за периода 2007-2015 г.    </a:t>
            </a:r>
          </a:p>
        </c:rich>
      </c:tx>
      <c:layout>
        <c:manualLayout>
          <c:xMode val="edge"/>
          <c:yMode val="edge"/>
          <c:x val="0.18780101933241725"/>
          <c:y val="3.7162256357299597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643659711075443"/>
          <c:y val="0.22635135135135134"/>
          <c:w val="0.841091492776886"/>
          <c:h val="0.6182432432432432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3.3707865168539332E-2"/>
                  <c:y val="-4.347733560331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0957731407168927E-3"/>
                  <c:y val="4.0197914449882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2102728731942662E-3"/>
                  <c:y val="3.52819748882740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0700909577314242E-3"/>
                  <c:y val="3.6941547847059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8726591760299616E-2"/>
                  <c:y val="3.1479747463999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Sheet1!$A$1:$A$9</c:f>
              <c:strCache>
                <c:ptCount val="9"/>
                <c:pt idx="0">
                  <c:v>2007 г.</c:v>
                </c:pt>
                <c:pt idx="1">
                  <c:v>2008 г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</c:v>
                </c:pt>
              </c:strCache>
            </c:strRef>
          </c:cat>
          <c:val>
            <c:numRef>
              <c:f>Sheet1!$B$1:$B$9</c:f>
              <c:numCache>
                <c:formatCode>#,##0.0</c:formatCode>
                <c:ptCount val="9"/>
                <c:pt idx="0">
                  <c:v>216</c:v>
                </c:pt>
                <c:pt idx="1">
                  <c:v>1074.2980000000002</c:v>
                </c:pt>
                <c:pt idx="2">
                  <c:v>1623.3</c:v>
                </c:pt>
                <c:pt idx="3">
                  <c:v>1683.9</c:v>
                </c:pt>
                <c:pt idx="4">
                  <c:v>1776.7</c:v>
                </c:pt>
                <c:pt idx="5">
                  <c:v>2086.9</c:v>
                </c:pt>
                <c:pt idx="6">
                  <c:v>2332</c:v>
                </c:pt>
                <c:pt idx="7">
                  <c:v>2445.4</c:v>
                </c:pt>
                <c:pt idx="8">
                  <c:v>2534.1148554299998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4047232"/>
        <c:axId val="154048768"/>
      </c:lineChart>
      <c:catAx>
        <c:axId val="154047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  <c:crossAx val="1540487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4048768"/>
        <c:scaling>
          <c:orientation val="minMax"/>
          <c:min val="2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l">
                  <a:defRPr sz="1025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bg-BG"/>
                  <a:t>(млн. лв.)</a:t>
                </a:r>
              </a:p>
            </c:rich>
          </c:tx>
          <c:layout>
            <c:manualLayout>
              <c:xMode val="edge"/>
              <c:yMode val="edge"/>
              <c:x val="0.87158912615147488"/>
              <c:y val="0.128378296975173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  <c:crossAx val="154047232"/>
        <c:crosses val="autoZero"/>
        <c:crossBetween val="between"/>
        <c:majorUnit val="400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bg-BG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6D85A-CCCF-4AF1-8480-E80FA9FF9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Тодорова</dc:creator>
  <cp:lastModifiedBy>Надежда Тодорова</cp:lastModifiedBy>
  <cp:revision>2</cp:revision>
  <dcterms:created xsi:type="dcterms:W3CDTF">2016-03-23T14:47:00Z</dcterms:created>
  <dcterms:modified xsi:type="dcterms:W3CDTF">2016-03-23T14:47:00Z</dcterms:modified>
</cp:coreProperties>
</file>